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val="en-US" w:eastAsia="zh-CN"/>
        </w:rPr>
        <w:t>2022年</w:t>
      </w:r>
      <w:r>
        <w:rPr>
          <w:rFonts w:hint="eastAsia"/>
          <w:lang w:eastAsia="zh-CN"/>
        </w:rPr>
        <w:t>政府预算绩效工作开展情况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一、绩效目标申报审核工作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按照“谁申请资金，谁编制目标”谁分配资金，谁审核目标”的原则，将绩效责任明确到人、落实到岗，对所有纳入部门预算和专项资金的项目支出均编报绩效目标。2022年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对一体化系统项目共计审核3876项，涉及资金1280404万元。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二、绩效自评价工作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项目实施单位开展2021年度项目支出绩效自评工作、涉及149家预算单位1150个项目，自评资金为404770万元。本次评价单位全、项目范围广，项目覆盖了全市一级预算单位，大多数项目运行情况良好，整体进展顺利，财政资金运用较为合理，项目效益发挥较好；但也存在部分单位对绩效管理工作重视程度不够、预算编制不够准确、受疫情影响部分项目执行率较低等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三、中央对地方转移支付预算执行情况绩效自评工作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为提高中央对地方转移支付资金使用效益，组织开展了</w:t>
      </w:r>
      <w:r>
        <w:rPr>
          <w:rFonts w:hint="eastAsia" w:ascii="仿宋_GB2312" w:hAnsi="仿宋_GB2312" w:eastAsia="仿宋_GB2312" w:cs="仿宋_GB2312"/>
          <w:b w:val="0"/>
          <w:bCs w:val="0"/>
          <w:sz w:val="32"/>
          <w:szCs w:val="32"/>
          <w:lang w:val="en-US" w:eastAsia="zh-CN"/>
        </w:rPr>
        <w:t>中央对地方转移支付预算执行情况绩效自评工作。本次自评覆盖民政、教育、农业、环保、住建、文化等多个民生领域，参与评价的33个预算部门共上报了97个项目，涉及资金100505万元，其中中央转移支付资金81547万元，省级配套资金7905万元，市级配套资金2119万元，县级资金6846万元，其他资金（含单位自有资金、上年结转资金）2086万元，2021年共执行了87366万元，预算执行率86.94%。评价结果反映，70个项目的资金支出进度达到了70%以上，其中40个项目资金支出进度达到100%，剩余25个项目支出进度小于70%，其中，13个项目的资金支出进度为0%，主要原因分为两个：</w:t>
      </w:r>
      <w:r>
        <w:rPr>
          <w:rFonts w:hint="default" w:ascii="仿宋_GB2312" w:hAnsi="仿宋_GB2312" w:eastAsia="仿宋_GB2312" w:cs="仿宋_GB2312"/>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项目为跨年度项目，前期准备工作时间较长或项目实施计划周期长；</w:t>
      </w:r>
      <w:r>
        <w:rPr>
          <w:rFonts w:hint="default" w:ascii="仿宋_GB2312" w:hAnsi="仿宋_GB2312" w:eastAsia="仿宋_GB2312" w:cs="仿宋_GB2312"/>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受疫情等客观因素影响，项目无法开展或开展不及时。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四、绩效目标监控工作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为全面贯彻实施预算绩效管理，加快构建全方位、全过程、全覆盖的预算绩效管理体系，提高财政资源配置效率和使用效益,组织预算单位开展2022年绩效目标监控工作。</w:t>
      </w:r>
      <w:r>
        <w:rPr>
          <w:rFonts w:hint="eastAsia" w:ascii="仿宋_GB2312" w:hAnsi="仿宋_GB2312" w:eastAsia="仿宋_GB2312" w:cs="仿宋_GB2312"/>
          <w:b w:val="0"/>
          <w:bCs w:val="0"/>
          <w:sz w:val="32"/>
          <w:szCs w:val="32"/>
          <w:lang w:val="en-US" w:eastAsia="zh-CN"/>
        </w:rPr>
        <w:t>本次监控涉及其他运转类、特定目标类以及后期本级追加项目共1087个，实际支出金额327926万元，其中444个项目监控期执行率为75%以上，占比为41%；453个项目监控期执行率未达75%，占比为41.67%；部分项目监控期执行率为0%，支付进度未达标。主要原因为</w:t>
      </w:r>
      <w:r>
        <w:rPr>
          <w:rFonts w:hint="eastAsia" w:ascii="仿宋_GB2312" w:hAnsi="仿宋_GB2312" w:eastAsia="仿宋_GB2312" w:cs="仿宋_GB2312"/>
          <w:sz w:val="32"/>
          <w:szCs w:val="32"/>
        </w:rPr>
        <w:t>项目进度没有达到支付条件</w:t>
      </w:r>
      <w:r>
        <w:rPr>
          <w:rFonts w:hint="eastAsia" w:ascii="仿宋_GB2312" w:hAnsi="仿宋_GB2312" w:eastAsia="仿宋_GB2312" w:cs="仿宋_GB2312"/>
          <w:sz w:val="32"/>
          <w:szCs w:val="32"/>
          <w:lang w:val="en-US" w:eastAsia="zh-CN"/>
        </w:rPr>
        <w:t>和疫情原因项目延迟开展等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五、重点项目绩效评价工作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从近年来本级预算安排的市委市政府确定的重点项目或重大民生项目覆盖面广、社会关注度高、实施期长的项目中选出了19个项目进行绩效评价，评价结果反映，19</w:t>
      </w:r>
      <w:r>
        <w:rPr>
          <w:rFonts w:hint="eastAsia" w:ascii="仿宋_GB2312" w:hAnsi="仿宋_GB2312" w:eastAsia="仿宋_GB2312" w:cs="仿宋_GB2312"/>
          <w:kern w:val="2"/>
          <w:sz w:val="32"/>
          <w:szCs w:val="32"/>
          <w:highlight w:val="none"/>
          <w:lang w:val="en-US" w:eastAsia="zh-CN" w:bidi="ar-SA"/>
        </w:rPr>
        <w:t>个项目中评价为</w:t>
      </w:r>
      <w:r>
        <w:rPr>
          <w:rFonts w:hint="eastAsia" w:ascii="仿宋_GB2312" w:hAnsi="仿宋_GB2312" w:eastAsia="仿宋_GB2312" w:cs="仿宋_GB2312"/>
          <w:b w:val="0"/>
          <w:bCs w:val="0"/>
          <w:sz w:val="32"/>
          <w:szCs w:val="32"/>
          <w:highlight w:val="none"/>
          <w:lang w:val="en-US" w:eastAsia="zh-CN"/>
        </w:rPr>
        <w:t>“优”的是4个，评价为“良”的是12个；评价为“中”是2个；1个项目是</w:t>
      </w:r>
      <w:r>
        <w:rPr>
          <w:rFonts w:hint="eastAsia" w:ascii="仿宋_GB2312" w:hAnsi="仿宋_GB2312" w:eastAsia="仿宋_GB2312" w:cs="仿宋_GB2312"/>
          <w:sz w:val="32"/>
          <w:szCs w:val="32"/>
          <w:lang w:val="en-US" w:eastAsia="zh-CN"/>
        </w:rPr>
        <w:t>2020年—2022年米山园区一期标准化厂房建设项目属于事中跟踪评价。19个项目重点内容如下：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（一）高</w:t>
      </w:r>
      <w:r>
        <w:rPr>
          <w:rFonts w:hint="eastAsia" w:ascii="仿宋_GB2312" w:hAnsi="仿宋_GB2312" w:eastAsia="仿宋_GB2312" w:cs="仿宋_GB2312"/>
          <w:sz w:val="32"/>
          <w:szCs w:val="32"/>
          <w:lang w:val="en-US" w:eastAsia="zh-CN"/>
        </w:rPr>
        <w:t>平市2021年校车运行经费项目，资金到位220万元，截止2021年12月31日,项目预算资金累计支出110.46万元，预算执行率为50.21%。通过实施该项目，减少学生上下学安全隐患，保障学生生命安全；解决义务教育阶段中小学学生上下学乘车问题，为学生提供便利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bookmarkStart w:id="0" w:name="_GoBack"/>
      <w:r>
        <w:rPr>
          <w:rFonts w:hint="eastAsia" w:ascii="仿宋_GB2312" w:hAnsi="仿宋_GB2312" w:eastAsia="仿宋_GB2312" w:cs="仿宋_GB2312"/>
          <w:b w:val="0"/>
          <w:bCs w:val="0"/>
          <w:sz w:val="32"/>
          <w:szCs w:val="32"/>
          <w:lang w:val="en-US" w:eastAsia="zh-CN"/>
        </w:rPr>
        <w:t>（二）高平市马村镇燃气集中供热补助项目，资金到位1100万元，截止2021年12月31日，项目预算资金累计支出1100万元，预算执行率为100%。通过实施该项目，满足了高平市马村镇冬季供暖需求，保障了居民冬季清洁取暖“用得上、用得起、用的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高平市构建现代农业体系（黄梨产业项目2021年）项目，资金到位538.295万元，截止2021年12月31日,项目预算资金累计支出538.295万元，预算执行率为100%。通过实施该项目，大幅提升农业供给体系质量和竞争力，提高农业可持续发展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高平市康乐街人行天桥及停车场工程资金项目，资金到位648.24万元，截止2021年12月31日,项目预算资金累计支出641.13万元，结余资金7.11万元（已核销），预算执行率为98.9%。通过实施该项目，使康乐街乃至区域整个交通体系更为高效的运转，满足周边居民的出行需求，促进城市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高平市坪曲线（s331)非机动车道建设资金项目，资金到位4134.5万元，截止2021年12月31日,项目预算资金累计支出4134.5万元，预算执行率为100%。通过实施该项目，实现道路机非分行，减少交通安全隐患，缓解交通拥堵；完善道路交通服务功能，为群众提供更加便利的出行条件；完善沿线交通设施，美化周边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高平市福利服务中心建设前期经费项目，资金到位1072.18万元，截止2021年底,项目预算资金累计支出1057.34万元，预算执行率为98.61%。通过实施该项目，解决社会养老重大问题、加强社会基础保障，促进高平市更好地开展各项救助工作，更好的关爱和帮助弱势人员，推动社会的文明进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（七）高平市 2021 年“百村百院”项目建设资金项目，资金到位1000万元，截止2021年12月31日,项目预算资金累计支出1000万元，预算执行率为100%。通过实施该项目，结合村庄自然资源、历史人文等地域特点，对七佛山沿线果则沟、龙王沟、秦庄、沟北等古村落筹建乡村民宿配套设施项目进行奖补，促进农村旅游产业发展，推动乡村振兴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高平市2021年高铁新区车站周边道路及园林绿化工程项目，实际到位资金14197.82万元，截止2021年12月31日，项目累计支出14142.35万元（其中：2020年累计支出567.02万元，2021年累计支出13575.33万元），预算执行率为99.61%。通过车站周边道路分阶段建设，园林绿化面积不断扩大，绿化美观水平提升，进一步改善高铁新区居民出行环境和道路景观效果，营造良好、更富吸引力、更具竞争力的发展环境，提升城市形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高平市2021年高铁新区（起步区）道路及管网工程项目，实际到位资金23706.25万元，截止2021年12月31日，支出总计17810.00万元，预算执行率为100%。通过项目的实施，全力推进高铁新区建设，满足高铁片区及周边市民出行要求，改善区域内的道路通行条件，增加高铁新区路网连通度，提高路网通行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高平市2021年炎帝大道（二广高速口-陵侯高速）两侧绿化工程项目，实际到位资金5500.43万元，截止2021年12月31日，支出总计5470.95万元，预算执行率99.46%。通过对高平市2021年炎帝大道（二广高速口-陵候高速）两侧道路的整体设计，使城市土地资源配置更合理，提升城市环境品味与风貌特色，提升高平市的竞争力和综合实力，充实高平市的绿化资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高平市2020-2021年供暖期热费补贴项目，实际到位资金7000.00万元，截止2021年12月31日共完成补贴7000.00万元，预算执行率为100%，通过该项目补贴，有效保障供暖用户安全温暖过冬，弥补企业亏损，保障企业正常供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高平市2021年神农路幼儿园建设项目，实际到位资金3565.35万元，其中债券资金3500.00万元，财政拨款65.35万元，截止2021年12月31日，项目实际支出2748.56万元，项目预算执行率为77.09%.通过项目实施，有效缓解高平市神农路周边小区幼儿入学难的问题，为进一步提高地方学前教育教学质量，培养幼儿日后良好的学习习惯、学习兴趣以及学习的主动性提供有力的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三）高平市2021年锦华幼儿园建设项目，实际到位资金3300.97万元，其中债券资金3000.00万元，财政拨款300.97万元。截止2021年12月31日，项目实际支出2336.94万元，项目预算执行率为70.80%。通过项目实施，有效缓解高平市南城片区幼儿入学难的问题，为进一步提高地方学前教育教学质量，实现义务教育的高入学率、低辍学率，推动地方义务教育的健康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四）高平市2018年农村气化工程补助资金项目，实际到位资金1486.20万元，截止2021年12月31日，项目累计支出1486.20万元。通过农村气化工程项目的实施，加快高平通气进度，确保“气化高平”工作顺利推进，改善能源结构和乡镇环境空气质量，推动乡村振兴和生态文明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（十五）高平市2021年城乡、镇村、城际公交成本规制补贴项目，实际到位资金2774.00万元，截止2021年12月31日，项目累计支出2774.00万元，预算执行率100.00%。通过</w:t>
      </w:r>
      <w:r>
        <w:rPr>
          <w:rFonts w:hint="default" w:ascii="仿宋_GB2312" w:hAnsi="仿宋_GB2312" w:eastAsia="仿宋_GB2312" w:cs="仿宋_GB2312"/>
          <w:b w:val="0"/>
          <w:bCs w:val="0"/>
          <w:sz w:val="32"/>
          <w:szCs w:val="32"/>
          <w:lang w:val="en-US" w:eastAsia="zh-CN"/>
        </w:rPr>
        <w:t>落实公交优先发展战略，降低群众出行成本，引导群众选择公共交通出行。落实公交公益性，缓解公交票价与成本倒挂的问题，促进本地公交行业平稳可持续发展。引导公交企业提高服务质量及运行效率，提高财政资金使用绩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（十六）高平市2021年数字政府建设项目（一期），实际到位资金</w:t>
      </w:r>
      <w:r>
        <w:rPr>
          <w:rFonts w:hint="default" w:ascii="仿宋_GB2312" w:hAnsi="仿宋_GB2312" w:eastAsia="仿宋_GB2312" w:cs="仿宋_GB2312"/>
          <w:b w:val="0"/>
          <w:bCs w:val="0"/>
          <w:sz w:val="32"/>
          <w:szCs w:val="32"/>
          <w:lang w:val="en-US" w:eastAsia="zh-CN"/>
        </w:rPr>
        <w:t>18120.00</w:t>
      </w:r>
      <w:r>
        <w:rPr>
          <w:rFonts w:hint="eastAsia" w:ascii="仿宋_GB2312" w:hAnsi="仿宋_GB2312" w:eastAsia="仿宋_GB2312" w:cs="仿宋_GB2312"/>
          <w:b w:val="0"/>
          <w:bCs w:val="0"/>
          <w:sz w:val="32"/>
          <w:szCs w:val="32"/>
          <w:lang w:val="en-US" w:eastAsia="zh-CN"/>
        </w:rPr>
        <w:t>万元，截止2021年12月31日，项目累计支出</w:t>
      </w:r>
      <w:r>
        <w:rPr>
          <w:rFonts w:hint="default" w:ascii="仿宋_GB2312" w:hAnsi="仿宋_GB2312" w:eastAsia="仿宋_GB2312" w:cs="仿宋_GB2312"/>
          <w:b w:val="0"/>
          <w:bCs w:val="0"/>
          <w:sz w:val="32"/>
          <w:szCs w:val="32"/>
          <w:lang w:val="en-US" w:eastAsia="zh-CN"/>
        </w:rPr>
        <w:t>18120.00</w:t>
      </w:r>
      <w:r>
        <w:rPr>
          <w:rFonts w:hint="eastAsia" w:ascii="仿宋_GB2312" w:hAnsi="仿宋_GB2312" w:eastAsia="仿宋_GB2312" w:cs="仿宋_GB2312"/>
          <w:b w:val="0"/>
          <w:bCs w:val="0"/>
          <w:sz w:val="32"/>
          <w:szCs w:val="32"/>
          <w:lang w:val="en-US" w:eastAsia="zh-CN"/>
        </w:rPr>
        <w:t>万元，均为项目工程款。通过实施该项目</w:t>
      </w:r>
      <w:r>
        <w:rPr>
          <w:rFonts w:hint="default" w:ascii="仿宋_GB2312" w:hAnsi="仿宋_GB2312" w:eastAsia="仿宋_GB2312" w:cs="仿宋_GB2312"/>
          <w:b w:val="0"/>
          <w:bCs w:val="0"/>
          <w:sz w:val="32"/>
          <w:szCs w:val="32"/>
          <w:lang w:val="en-US" w:eastAsia="zh-CN"/>
        </w:rPr>
        <w:t>充分利用大数据、云计算、5G</w:t>
      </w:r>
      <w:r>
        <w:rPr>
          <w:rFonts w:hint="eastAsia" w:ascii="仿宋_GB2312" w:hAnsi="仿宋_GB2312" w:eastAsia="仿宋_GB2312" w:cs="仿宋_GB2312"/>
          <w:b w:val="0"/>
          <w:bCs w:val="0"/>
          <w:sz w:val="32"/>
          <w:szCs w:val="32"/>
          <w:lang w:val="en-US" w:eastAsia="zh-CN"/>
        </w:rPr>
        <w:t>、人工智能等现代信息技术手段，整合高平市政务资源，构建现代化治理模式，打造山西省县域治理“高平样本”。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（十七）高平市炎帝陵至市区快速通道建设工程（神农互通一北环路）项目，</w:t>
      </w:r>
      <w:r>
        <w:rPr>
          <w:rFonts w:hint="default" w:ascii="仿宋_GB2312" w:hAnsi="仿宋_GB2312" w:eastAsia="仿宋_GB2312" w:cs="仿宋_GB2312"/>
          <w:b w:val="0"/>
          <w:bCs w:val="0"/>
          <w:sz w:val="32"/>
          <w:szCs w:val="32"/>
          <w:lang w:val="en-US" w:eastAsia="zh-CN"/>
        </w:rPr>
        <w:t>实际到位</w:t>
      </w:r>
      <w:r>
        <w:rPr>
          <w:rFonts w:hint="eastAsia" w:ascii="仿宋_GB2312" w:hAnsi="仿宋_GB2312" w:eastAsia="仿宋_GB2312" w:cs="仿宋_GB2312"/>
          <w:b w:val="0"/>
          <w:bCs w:val="0"/>
          <w:sz w:val="32"/>
          <w:szCs w:val="32"/>
          <w:lang w:val="en-US" w:eastAsia="zh-CN"/>
        </w:rPr>
        <w:t>资金</w:t>
      </w:r>
      <w:r>
        <w:rPr>
          <w:rFonts w:hint="default" w:ascii="仿宋_GB2312" w:hAnsi="仿宋_GB2312" w:eastAsia="仿宋_GB2312" w:cs="仿宋_GB2312"/>
          <w:b w:val="0"/>
          <w:bCs w:val="0"/>
          <w:sz w:val="32"/>
          <w:szCs w:val="32"/>
          <w:lang w:val="en-US" w:eastAsia="zh-CN"/>
        </w:rPr>
        <w:t>18800.00万元，</w:t>
      </w:r>
      <w:r>
        <w:rPr>
          <w:rFonts w:hint="eastAsia" w:ascii="仿宋_GB2312" w:hAnsi="仿宋_GB2312" w:eastAsia="仿宋_GB2312" w:cs="仿宋_GB2312"/>
          <w:b w:val="0"/>
          <w:bCs w:val="0"/>
          <w:sz w:val="32"/>
          <w:szCs w:val="32"/>
          <w:lang w:val="en-US" w:eastAsia="zh-CN"/>
        </w:rPr>
        <w:t>截至2021年12月31日，项目</w:t>
      </w:r>
      <w:r>
        <w:rPr>
          <w:rFonts w:hint="default" w:ascii="仿宋_GB2312" w:hAnsi="仿宋_GB2312" w:eastAsia="仿宋_GB2312" w:cs="仿宋_GB2312"/>
          <w:b w:val="0"/>
          <w:bCs w:val="0"/>
          <w:sz w:val="32"/>
          <w:szCs w:val="32"/>
          <w:lang w:val="en-US" w:eastAsia="zh-CN"/>
        </w:rPr>
        <w:t>累计支出18800.00万元，全部用于支付工程进</w:t>
      </w:r>
      <w:bookmarkEnd w:id="0"/>
      <w:r>
        <w:rPr>
          <w:rFonts w:hint="default" w:ascii="仿宋_GB2312" w:hAnsi="仿宋_GB2312" w:eastAsia="仿宋_GB2312" w:cs="仿宋_GB2312"/>
          <w:sz w:val="32"/>
          <w:szCs w:val="32"/>
          <w:lang w:val="en-US" w:eastAsia="zh-CN"/>
        </w:rPr>
        <w:t>度款、监理服务费、设计费</w:t>
      </w:r>
      <w:r>
        <w:rPr>
          <w:rFonts w:hint="eastAsia" w:ascii="仿宋_GB2312" w:hAnsi="仿宋_GB2312" w:eastAsia="仿宋_GB2312" w:cs="仿宋_GB2312"/>
          <w:sz w:val="32"/>
          <w:szCs w:val="32"/>
          <w:lang w:val="en-US" w:eastAsia="zh-CN"/>
        </w:rPr>
        <w:t>，预算执行率为100%。</w:t>
      </w:r>
      <w:r>
        <w:rPr>
          <w:rFonts w:hint="default" w:ascii="仿宋_GB2312" w:hAnsi="仿宋_GB2312" w:eastAsia="仿宋_GB2312" w:cs="仿宋_GB2312"/>
          <w:sz w:val="32"/>
          <w:szCs w:val="32"/>
          <w:lang w:val="en-US" w:eastAsia="zh-CN"/>
        </w:rPr>
        <w:t>通过该项目的实施，进一步提升干线公路等级，完善公路网主构架，完善基础设施配套，提升城区道路交通和配套市政设施服务水平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有力推动高平市城乡一体化。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高平市炎帝陵至市区快速通道建设工程项目，实际到位资金5960.32万元，截至2021年12月31日，项目累计支出5905.71万元，剩余资金56.41万元财政收回。通过该项目的实施，进一步提升干线公路等级，完善公路网主构架，完善基础设施配套，提升城区道路交通和配套市政设施服务水平；拓展城市发展空间，完善城市服务功能；改善道路沿线工业园区的发展环境，从而带动高平市经济社会快速发展；促进沿线新农村建设，有力推动高平市城乡一体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（十九）高平市2020年—2022年米山园区一期标准化厂房建设项目事中跟踪评价，截止 </w:t>
      </w:r>
      <w:r>
        <w:rPr>
          <w:rFonts w:hint="default" w:ascii="仿宋_GB2312" w:hAnsi="仿宋_GB2312" w:eastAsia="仿宋_GB2312" w:cs="仿宋_GB2312"/>
          <w:sz w:val="32"/>
          <w:szCs w:val="32"/>
          <w:lang w:val="en-US" w:eastAsia="zh-CN"/>
        </w:rPr>
        <w:t xml:space="preserve">2022 </w:t>
      </w:r>
      <w:r>
        <w:rPr>
          <w:rFonts w:hint="eastAsia" w:ascii="仿宋_GB2312" w:hAnsi="仿宋_GB2312" w:eastAsia="仿宋_GB2312" w:cs="仿宋_GB2312"/>
          <w:sz w:val="32"/>
          <w:szCs w:val="32"/>
          <w:lang w:val="en-US" w:eastAsia="zh-CN"/>
        </w:rPr>
        <w:t xml:space="preserve">年 </w:t>
      </w:r>
      <w:r>
        <w:rPr>
          <w:rFonts w:hint="default" w:ascii="仿宋_GB2312" w:hAnsi="仿宋_GB2312" w:eastAsia="仿宋_GB2312" w:cs="仿宋_GB2312"/>
          <w:sz w:val="32"/>
          <w:szCs w:val="32"/>
          <w:lang w:val="en-US" w:eastAsia="zh-CN"/>
        </w:rPr>
        <w:t xml:space="preserve">9 </w:t>
      </w:r>
      <w:r>
        <w:rPr>
          <w:rFonts w:hint="eastAsia" w:ascii="仿宋_GB2312" w:hAnsi="仿宋_GB2312" w:eastAsia="仿宋_GB2312" w:cs="仿宋_GB2312"/>
          <w:sz w:val="32"/>
          <w:szCs w:val="32"/>
          <w:lang w:val="en-US" w:eastAsia="zh-CN"/>
        </w:rPr>
        <w:t xml:space="preserve">月 </w:t>
      </w:r>
      <w:r>
        <w:rPr>
          <w:rFonts w:hint="default" w:ascii="仿宋_GB2312" w:hAnsi="仿宋_GB2312" w:eastAsia="仿宋_GB2312" w:cs="仿宋_GB2312"/>
          <w:sz w:val="32"/>
          <w:szCs w:val="32"/>
          <w:lang w:val="en-US" w:eastAsia="zh-CN"/>
        </w:rPr>
        <w:t xml:space="preserve">30 </w:t>
      </w:r>
      <w:r>
        <w:rPr>
          <w:rFonts w:hint="eastAsia" w:ascii="仿宋_GB2312" w:hAnsi="仿宋_GB2312" w:eastAsia="仿宋_GB2312" w:cs="仿宋_GB2312"/>
          <w:sz w:val="32"/>
          <w:szCs w:val="32"/>
          <w:lang w:val="en-US" w:eastAsia="zh-CN"/>
        </w:rPr>
        <w:t>日，米山园区一期标准化厂房建设项目已投入</w:t>
      </w:r>
      <w:r>
        <w:rPr>
          <w:rFonts w:hint="default" w:ascii="仿宋_GB2312" w:hAnsi="仿宋_GB2312" w:eastAsia="仿宋_GB2312" w:cs="仿宋_GB2312"/>
          <w:sz w:val="32"/>
          <w:szCs w:val="32"/>
          <w:lang w:val="en-US" w:eastAsia="zh-CN"/>
        </w:rPr>
        <w:t xml:space="preserve">52160 </w:t>
      </w:r>
      <w:r>
        <w:rPr>
          <w:rFonts w:hint="eastAsia" w:ascii="仿宋_GB2312" w:hAnsi="仿宋_GB2312" w:eastAsia="仿宋_GB2312" w:cs="仿宋_GB2312"/>
          <w:sz w:val="32"/>
          <w:szCs w:val="32"/>
          <w:lang w:val="en-US" w:eastAsia="zh-CN"/>
        </w:rPr>
        <w:t xml:space="preserve">万元，累计支出 </w:t>
      </w:r>
      <w:r>
        <w:rPr>
          <w:rFonts w:hint="default" w:ascii="仿宋_GB2312" w:hAnsi="仿宋_GB2312" w:eastAsia="仿宋_GB2312" w:cs="仿宋_GB2312"/>
          <w:sz w:val="32"/>
          <w:szCs w:val="32"/>
          <w:lang w:val="en-US" w:eastAsia="zh-CN"/>
        </w:rPr>
        <w:t xml:space="preserve">47807.03 </w:t>
      </w:r>
      <w:r>
        <w:rPr>
          <w:rFonts w:hint="eastAsia" w:ascii="仿宋_GB2312" w:hAnsi="仿宋_GB2312" w:eastAsia="仿宋_GB2312" w:cs="仿宋_GB2312"/>
          <w:sz w:val="32"/>
          <w:szCs w:val="32"/>
          <w:lang w:val="en-US" w:eastAsia="zh-CN"/>
        </w:rPr>
        <w:t xml:space="preserve">万元，其中 </w:t>
      </w:r>
      <w:r>
        <w:rPr>
          <w:rFonts w:hint="default" w:ascii="仿宋_GB2312" w:hAnsi="仿宋_GB2312" w:eastAsia="仿宋_GB2312" w:cs="仿宋_GB2312"/>
          <w:sz w:val="32"/>
          <w:szCs w:val="32"/>
          <w:lang w:val="en-US" w:eastAsia="zh-CN"/>
        </w:rPr>
        <w:t xml:space="preserve">40000 </w:t>
      </w:r>
      <w:r>
        <w:rPr>
          <w:rFonts w:hint="eastAsia" w:ascii="仿宋_GB2312" w:hAnsi="仿宋_GB2312" w:eastAsia="仿宋_GB2312" w:cs="仿宋_GB2312"/>
          <w:sz w:val="32"/>
          <w:szCs w:val="32"/>
          <w:lang w:val="en-US" w:eastAsia="zh-CN"/>
        </w:rPr>
        <w:t>万元为专项债券资金（</w:t>
      </w:r>
      <w:r>
        <w:rPr>
          <w:rFonts w:hint="default" w:ascii="仿宋_GB2312" w:hAnsi="仿宋_GB2312" w:eastAsia="仿宋_GB2312" w:cs="仿宋_GB2312"/>
          <w:sz w:val="32"/>
          <w:szCs w:val="32"/>
          <w:lang w:val="en-US" w:eastAsia="zh-CN"/>
        </w:rPr>
        <w:t xml:space="preserve">2021 </w:t>
      </w:r>
      <w:r>
        <w:rPr>
          <w:rFonts w:hint="eastAsia" w:ascii="仿宋_GB2312" w:hAnsi="仿宋_GB2312" w:eastAsia="仿宋_GB2312" w:cs="仿宋_GB2312"/>
          <w:sz w:val="32"/>
          <w:szCs w:val="32"/>
          <w:lang w:val="en-US" w:eastAsia="zh-CN"/>
        </w:rPr>
        <w:t xml:space="preserve">年投入 </w:t>
      </w:r>
      <w:r>
        <w:rPr>
          <w:rFonts w:hint="default" w:ascii="仿宋_GB2312" w:hAnsi="仿宋_GB2312" w:eastAsia="仿宋_GB2312" w:cs="仿宋_GB2312"/>
          <w:sz w:val="32"/>
          <w:szCs w:val="32"/>
          <w:lang w:val="en-US" w:eastAsia="zh-CN"/>
        </w:rPr>
        <w:t xml:space="preserve">12900 </w:t>
      </w:r>
      <w:r>
        <w:rPr>
          <w:rFonts w:hint="eastAsia" w:ascii="仿宋_GB2312" w:hAnsi="仿宋_GB2312" w:eastAsia="仿宋_GB2312" w:cs="仿宋_GB2312"/>
          <w:sz w:val="32"/>
          <w:szCs w:val="32"/>
          <w:lang w:val="en-US" w:eastAsia="zh-CN"/>
        </w:rPr>
        <w:t>万元，</w:t>
      </w:r>
      <w:r>
        <w:rPr>
          <w:rFonts w:hint="default" w:ascii="仿宋_GB2312" w:hAnsi="仿宋_GB2312" w:eastAsia="仿宋_GB2312" w:cs="仿宋_GB2312"/>
          <w:sz w:val="32"/>
          <w:szCs w:val="32"/>
          <w:lang w:val="en-US" w:eastAsia="zh-CN"/>
        </w:rPr>
        <w:t xml:space="preserve">2022 </w:t>
      </w:r>
      <w:r>
        <w:rPr>
          <w:rFonts w:hint="eastAsia" w:ascii="仿宋_GB2312" w:hAnsi="仿宋_GB2312" w:eastAsia="仿宋_GB2312" w:cs="仿宋_GB2312"/>
          <w:sz w:val="32"/>
          <w:szCs w:val="32"/>
          <w:lang w:val="en-US" w:eastAsia="zh-CN"/>
        </w:rPr>
        <w:t xml:space="preserve">年投入 </w:t>
      </w:r>
      <w:r>
        <w:rPr>
          <w:rFonts w:hint="default" w:ascii="仿宋_GB2312" w:hAnsi="仿宋_GB2312" w:eastAsia="仿宋_GB2312" w:cs="仿宋_GB2312"/>
          <w:sz w:val="32"/>
          <w:szCs w:val="32"/>
          <w:lang w:val="en-US" w:eastAsia="zh-CN"/>
        </w:rPr>
        <w:t xml:space="preserve">27100 </w:t>
      </w:r>
      <w:r>
        <w:rPr>
          <w:rFonts w:hint="eastAsia" w:ascii="仿宋_GB2312" w:hAnsi="仿宋_GB2312" w:eastAsia="仿宋_GB2312" w:cs="仿宋_GB2312"/>
          <w:sz w:val="32"/>
          <w:szCs w:val="32"/>
          <w:lang w:val="en-US" w:eastAsia="zh-CN"/>
        </w:rPr>
        <w:t xml:space="preserve">万元），支付进度率为 </w:t>
      </w:r>
      <w:r>
        <w:rPr>
          <w:rFonts w:hint="default" w:ascii="仿宋_GB2312" w:hAnsi="仿宋_GB2312" w:eastAsia="仿宋_GB2312" w:cs="仿宋_GB2312"/>
          <w:sz w:val="32"/>
          <w:szCs w:val="32"/>
          <w:lang w:val="en-US" w:eastAsia="zh-CN"/>
        </w:rPr>
        <w:t>91.65%</w:t>
      </w:r>
      <w:r>
        <w:rPr>
          <w:rFonts w:hint="eastAsia" w:ascii="仿宋_GB2312" w:hAnsi="仿宋_GB2312" w:eastAsia="仿宋_GB2312" w:cs="仿宋_GB2312"/>
          <w:sz w:val="32"/>
          <w:szCs w:val="32"/>
          <w:lang w:val="en-US" w:eastAsia="zh-CN"/>
        </w:rPr>
        <w:t>。通过建设标准化厂房，吸引省内外中小企业和项目入驻，打造高质量转型发展平台载体。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40CE7"/>
    <w:rsid w:val="00FD276E"/>
    <w:rsid w:val="0180007E"/>
    <w:rsid w:val="018E409A"/>
    <w:rsid w:val="01CC474D"/>
    <w:rsid w:val="0343367A"/>
    <w:rsid w:val="03EA7871"/>
    <w:rsid w:val="050B0880"/>
    <w:rsid w:val="07395A3D"/>
    <w:rsid w:val="089A3C20"/>
    <w:rsid w:val="0D4413FC"/>
    <w:rsid w:val="0D9A091C"/>
    <w:rsid w:val="0E9E43B6"/>
    <w:rsid w:val="0EDB17E6"/>
    <w:rsid w:val="0F36589E"/>
    <w:rsid w:val="0F9213DB"/>
    <w:rsid w:val="0FB724C9"/>
    <w:rsid w:val="102037C7"/>
    <w:rsid w:val="12D77198"/>
    <w:rsid w:val="135D3058"/>
    <w:rsid w:val="15CF3DBB"/>
    <w:rsid w:val="17411336"/>
    <w:rsid w:val="180944B0"/>
    <w:rsid w:val="18711DD8"/>
    <w:rsid w:val="18935BCB"/>
    <w:rsid w:val="1A6D7C40"/>
    <w:rsid w:val="1BA8057C"/>
    <w:rsid w:val="1D77766C"/>
    <w:rsid w:val="1DCE58FE"/>
    <w:rsid w:val="1E3456F1"/>
    <w:rsid w:val="1F8A7F30"/>
    <w:rsid w:val="20302314"/>
    <w:rsid w:val="20A73A70"/>
    <w:rsid w:val="225D2871"/>
    <w:rsid w:val="239E123B"/>
    <w:rsid w:val="26EF3C29"/>
    <w:rsid w:val="27F85BDD"/>
    <w:rsid w:val="28BF6BC4"/>
    <w:rsid w:val="291466BF"/>
    <w:rsid w:val="2AFA08D9"/>
    <w:rsid w:val="2D5C3E36"/>
    <w:rsid w:val="2D86547F"/>
    <w:rsid w:val="2DB0467C"/>
    <w:rsid w:val="2F2A4593"/>
    <w:rsid w:val="313B39DC"/>
    <w:rsid w:val="313E7683"/>
    <w:rsid w:val="319676A8"/>
    <w:rsid w:val="32E24E99"/>
    <w:rsid w:val="342F5DA9"/>
    <w:rsid w:val="354E352A"/>
    <w:rsid w:val="3563342F"/>
    <w:rsid w:val="36C151F5"/>
    <w:rsid w:val="37DC23F0"/>
    <w:rsid w:val="38BB4457"/>
    <w:rsid w:val="39122289"/>
    <w:rsid w:val="3AB43C85"/>
    <w:rsid w:val="3CC354E4"/>
    <w:rsid w:val="3E7B3024"/>
    <w:rsid w:val="3FF46F1D"/>
    <w:rsid w:val="40693884"/>
    <w:rsid w:val="41472627"/>
    <w:rsid w:val="42943D8A"/>
    <w:rsid w:val="44A426D8"/>
    <w:rsid w:val="44B144FA"/>
    <w:rsid w:val="45040CE7"/>
    <w:rsid w:val="4708722E"/>
    <w:rsid w:val="48E71132"/>
    <w:rsid w:val="49607EE6"/>
    <w:rsid w:val="4B5449AB"/>
    <w:rsid w:val="4C7C6E88"/>
    <w:rsid w:val="4D27561B"/>
    <w:rsid w:val="4D511FDE"/>
    <w:rsid w:val="4D7E7140"/>
    <w:rsid w:val="4E9431EE"/>
    <w:rsid w:val="4FCF75B4"/>
    <w:rsid w:val="505C4762"/>
    <w:rsid w:val="54F77159"/>
    <w:rsid w:val="58155234"/>
    <w:rsid w:val="5989015B"/>
    <w:rsid w:val="5D14476D"/>
    <w:rsid w:val="5DA60714"/>
    <w:rsid w:val="5E536CAF"/>
    <w:rsid w:val="609F086F"/>
    <w:rsid w:val="60AB3867"/>
    <w:rsid w:val="62A10BB8"/>
    <w:rsid w:val="63825A1D"/>
    <w:rsid w:val="6436164B"/>
    <w:rsid w:val="64B310BD"/>
    <w:rsid w:val="660B03E5"/>
    <w:rsid w:val="662553EB"/>
    <w:rsid w:val="66C17C30"/>
    <w:rsid w:val="684B1A7A"/>
    <w:rsid w:val="689F00D3"/>
    <w:rsid w:val="6A20531F"/>
    <w:rsid w:val="6BD275E4"/>
    <w:rsid w:val="6ECE112E"/>
    <w:rsid w:val="6EE82FD3"/>
    <w:rsid w:val="6F232E9F"/>
    <w:rsid w:val="6F411D44"/>
    <w:rsid w:val="70E34C6B"/>
    <w:rsid w:val="72A06B84"/>
    <w:rsid w:val="75AF2EA4"/>
    <w:rsid w:val="76720402"/>
    <w:rsid w:val="76C81D1E"/>
    <w:rsid w:val="770A3BA4"/>
    <w:rsid w:val="7729704E"/>
    <w:rsid w:val="78112C24"/>
    <w:rsid w:val="7A213FBE"/>
    <w:rsid w:val="7AC1235C"/>
    <w:rsid w:val="7B6E4292"/>
    <w:rsid w:val="7C2D5C0B"/>
    <w:rsid w:val="7D9B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2023-09-04T08:26:00Z</dcterms:created>
  <dc:creator>PC</dc:creator>
  <cp:lastModifiedBy>PC</cp:lastModifiedBy>
  <dcterms:modified xsi:type="dcterms:W3CDTF">2023-09-05T09:06:53Z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