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3486">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14:paraId="7D01B842">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593F4615">
      <w:pPr>
        <w:spacing w:line="195" w:lineRule="exact"/>
      </w:pPr>
    </w:p>
    <w:p w14:paraId="181072C5">
      <w:pPr>
        <w:spacing w:line="195" w:lineRule="exact"/>
        <w:sectPr>
          <w:footerReference r:id="rId5" w:type="default"/>
          <w:pgSz w:w="16820" w:h="11900"/>
          <w:pgMar w:top="1011" w:right="1205" w:bottom="400" w:left="929" w:header="0" w:footer="0" w:gutter="0"/>
          <w:pgNumType w:fmt="decimal"/>
          <w:cols w:equalWidth="0" w:num="1">
            <w:col w:w="14685"/>
          </w:cols>
        </w:sectPr>
      </w:pPr>
    </w:p>
    <w:p w14:paraId="01F9C8E4">
      <w:pPr>
        <w:spacing w:before="69" w:line="184" w:lineRule="auto"/>
        <w:ind w:left="159"/>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高平市能源局</w:t>
      </w:r>
    </w:p>
    <w:p w14:paraId="1CBA9976">
      <w:pPr>
        <w:spacing w:line="14" w:lineRule="auto"/>
        <w:rPr>
          <w:rFonts w:ascii="Arial"/>
          <w:sz w:val="2"/>
        </w:rPr>
      </w:pPr>
      <w:r>
        <w:rPr>
          <w:rFonts w:ascii="Arial" w:hAnsi="Arial" w:eastAsia="Arial" w:cs="Arial"/>
          <w:sz w:val="2"/>
          <w:szCs w:val="2"/>
        </w:rPr>
        <w:br w:type="column"/>
      </w:r>
    </w:p>
    <w:p w14:paraId="468CE857">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连雷  2355778</w:t>
      </w:r>
    </w:p>
    <w:p w14:paraId="17081FCF">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5CD618B5">
      <w:pPr>
        <w:spacing w:line="92" w:lineRule="auto"/>
        <w:rPr>
          <w:rFonts w:ascii="Arial"/>
          <w:sz w:val="2"/>
        </w:rPr>
      </w:pPr>
    </w:p>
    <w:tbl>
      <w:tblPr>
        <w:tblStyle w:val="8"/>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256"/>
        <w:gridCol w:w="1740"/>
        <w:gridCol w:w="2028"/>
        <w:gridCol w:w="1084"/>
      </w:tblGrid>
      <w:tr w14:paraId="28D1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7A4F2541">
            <w:pPr>
              <w:pStyle w:val="9"/>
              <w:spacing w:line="277" w:lineRule="auto"/>
            </w:pPr>
          </w:p>
          <w:p w14:paraId="5ADFD007">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14:paraId="5932D822">
            <w:pPr>
              <w:pStyle w:val="9"/>
              <w:spacing w:line="276" w:lineRule="auto"/>
            </w:pPr>
          </w:p>
          <w:p w14:paraId="329E809F">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14:paraId="450E071E">
            <w:pPr>
              <w:pStyle w:val="9"/>
              <w:spacing w:line="276" w:lineRule="auto"/>
            </w:pPr>
          </w:p>
          <w:p w14:paraId="65D45302">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256" w:type="dxa"/>
            <w:vAlign w:val="top"/>
          </w:tcPr>
          <w:p w14:paraId="31CCE901">
            <w:pPr>
              <w:pStyle w:val="9"/>
              <w:spacing w:line="273" w:lineRule="auto"/>
            </w:pPr>
          </w:p>
          <w:p w14:paraId="10CF3ED1">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740" w:type="dxa"/>
            <w:vAlign w:val="top"/>
          </w:tcPr>
          <w:p w14:paraId="6E14B1F9">
            <w:pPr>
              <w:pStyle w:val="9"/>
              <w:spacing w:line="276" w:lineRule="auto"/>
            </w:pPr>
          </w:p>
          <w:p w14:paraId="53734389">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14:paraId="72DD615A">
            <w:pPr>
              <w:pStyle w:val="9"/>
              <w:spacing w:line="276" w:lineRule="auto"/>
            </w:pPr>
          </w:p>
          <w:p w14:paraId="26961E40">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14:paraId="7E7002BC">
            <w:pPr>
              <w:pStyle w:val="9"/>
              <w:spacing w:line="277" w:lineRule="auto"/>
            </w:pPr>
          </w:p>
          <w:p w14:paraId="641EC0B7">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14:paraId="4480C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1131757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w:t>
            </w:r>
          </w:p>
        </w:tc>
        <w:tc>
          <w:tcPr>
            <w:tcW w:w="2878" w:type="dxa"/>
            <w:vAlign w:val="center"/>
          </w:tcPr>
          <w:p w14:paraId="5A120927">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对电力建设项目不符合发展规划、产业政策或者使用国家明令淘汰电力设备和技术的处罚</w:t>
            </w:r>
          </w:p>
        </w:tc>
        <w:tc>
          <w:tcPr>
            <w:tcW w:w="1759" w:type="dxa"/>
            <w:vAlign w:val="center"/>
          </w:tcPr>
          <w:p w14:paraId="0E11988A">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7F2C3A16">
            <w:pPr>
              <w:widowControl/>
              <w:jc w:val="left"/>
              <w:rPr>
                <w:rFonts w:hint="eastAsia"/>
                <w:color w:val="auto"/>
              </w:rPr>
            </w:pPr>
            <w:r>
              <w:rPr>
                <w:rFonts w:hint="eastAsia" w:ascii="宋体" w:hAnsi="宋体" w:eastAsia="宋体" w:cs="宋体"/>
                <w:color w:val="auto"/>
                <w:kern w:val="0"/>
                <w:sz w:val="14"/>
                <w:szCs w:val="14"/>
              </w:rPr>
              <w:t>【法律】《</w:t>
            </w:r>
            <w:r>
              <w:rPr>
                <w:rFonts w:hint="eastAsia" w:ascii="宋体" w:hAnsi="宋体" w:eastAsia="宋体" w:cs="宋体"/>
                <w:color w:val="auto"/>
                <w:kern w:val="0"/>
                <w:sz w:val="14"/>
                <w:szCs w:val="14"/>
                <w:lang w:val="en-US" w:eastAsia="zh-CN"/>
              </w:rPr>
              <w:t>中华人民共和国</w:t>
            </w:r>
            <w:r>
              <w:rPr>
                <w:rFonts w:hint="eastAsia" w:ascii="宋体" w:hAnsi="宋体" w:eastAsia="宋体" w:cs="宋体"/>
                <w:color w:val="auto"/>
                <w:kern w:val="0"/>
                <w:sz w:val="14"/>
                <w:szCs w:val="14"/>
              </w:rPr>
              <w:t xml:space="preserve">电力法》第十四条 电力建设项目应当符合电力发展规划，符合国家电力产业政策。电力建设项目 不得使用国家明令淘汰的电力设备和技术。 </w:t>
            </w:r>
          </w:p>
          <w:p w14:paraId="5AA47A9D">
            <w:pPr>
              <w:widowControl/>
              <w:jc w:val="left"/>
              <w:rPr>
                <w:rFonts w:hint="eastAsia"/>
                <w:color w:val="auto"/>
              </w:rPr>
            </w:pPr>
            <w:r>
              <w:rPr>
                <w:rFonts w:hint="eastAsia" w:ascii="宋体" w:hAnsi="宋体" w:eastAsia="宋体" w:cs="宋体"/>
                <w:color w:val="auto"/>
                <w:kern w:val="0"/>
                <w:sz w:val="14"/>
                <w:szCs w:val="14"/>
              </w:rPr>
              <w:t xml:space="preserve">第六十二条 违反本法第十四条规定，电力建设项目不符合电力发展规划、产业政策的，由电力管理部门责令停止建设。 </w:t>
            </w:r>
          </w:p>
          <w:p w14:paraId="58896C31">
            <w:pPr>
              <w:widowControl/>
              <w:jc w:val="left"/>
              <w:rPr>
                <w:rFonts w:ascii="仿宋" w:hAnsi="仿宋" w:eastAsia="仿宋" w:cs="仿宋"/>
                <w:snapToGrid w:val="0"/>
                <w:color w:val="auto"/>
                <w:kern w:val="0"/>
                <w:sz w:val="15"/>
                <w:szCs w:val="15"/>
                <w:lang w:val="en-US" w:eastAsia="en-US" w:bidi="ar-SA"/>
              </w:rPr>
            </w:pPr>
            <w:r>
              <w:rPr>
                <w:rFonts w:hint="eastAsia" w:ascii="宋体" w:hAnsi="宋体" w:eastAsia="宋体" w:cs="宋体"/>
                <w:color w:val="auto"/>
                <w:kern w:val="0"/>
                <w:sz w:val="14"/>
                <w:szCs w:val="14"/>
              </w:rPr>
              <w:t>违反本法第十四条规定，电力建设项目使用国家明令淘汰的电力设备和技术的，由电力管理部门责令停止使用，没收国家明令淘汰的电力设备，并处五万元以下的罚款。</w:t>
            </w:r>
          </w:p>
        </w:tc>
        <w:tc>
          <w:tcPr>
            <w:tcW w:w="1740" w:type="dxa"/>
            <w:vAlign w:val="center"/>
          </w:tcPr>
          <w:p w14:paraId="2027ABC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2028" w:type="dxa"/>
            <w:vAlign w:val="center"/>
          </w:tcPr>
          <w:p w14:paraId="2BC304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1084" w:type="dxa"/>
            <w:vAlign w:val="top"/>
          </w:tcPr>
          <w:p w14:paraId="7430CCF6">
            <w:pPr>
              <w:pStyle w:val="9"/>
            </w:pPr>
          </w:p>
        </w:tc>
      </w:tr>
      <w:tr w14:paraId="1064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14:paraId="061A54B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w:t>
            </w:r>
          </w:p>
        </w:tc>
        <w:tc>
          <w:tcPr>
            <w:tcW w:w="2878" w:type="dxa"/>
            <w:vAlign w:val="center"/>
          </w:tcPr>
          <w:p w14:paraId="04CCB1DA">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对未经许可从事供电或者变更供电营业区等违法行为的处罚</w:t>
            </w:r>
          </w:p>
        </w:tc>
        <w:tc>
          <w:tcPr>
            <w:tcW w:w="1759" w:type="dxa"/>
            <w:vAlign w:val="center"/>
          </w:tcPr>
          <w:p w14:paraId="2BB9697D">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2C8F2E8E">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13"/>
                <w:szCs w:val="13"/>
              </w:rPr>
            </w:pPr>
            <w:r>
              <w:rPr>
                <w:rFonts w:hint="eastAsia" w:ascii="宋体" w:hAnsi="宋体" w:eastAsia="宋体" w:cs="宋体"/>
                <w:color w:val="auto"/>
                <w:kern w:val="0"/>
                <w:sz w:val="13"/>
                <w:szCs w:val="13"/>
              </w:rPr>
              <w:t>【法律】《</w:t>
            </w:r>
            <w:r>
              <w:rPr>
                <w:rFonts w:hint="eastAsia" w:ascii="宋体" w:hAnsi="宋体" w:eastAsia="宋体" w:cs="宋体"/>
                <w:color w:val="auto"/>
                <w:kern w:val="0"/>
                <w:sz w:val="13"/>
                <w:szCs w:val="13"/>
                <w:lang w:val="en-US" w:eastAsia="zh-CN"/>
              </w:rPr>
              <w:t>中华人民共和国</w:t>
            </w:r>
            <w:r>
              <w:rPr>
                <w:rFonts w:hint="eastAsia" w:ascii="宋体" w:hAnsi="宋体" w:eastAsia="宋体" w:cs="宋体"/>
                <w:color w:val="auto"/>
                <w:kern w:val="0"/>
                <w:sz w:val="13"/>
                <w:szCs w:val="13"/>
              </w:rPr>
              <w:t>电力法》第二十五条</w:t>
            </w:r>
            <w:r>
              <w:rPr>
                <w:rFonts w:hint="eastAsia" w:ascii="宋体" w:hAnsi="宋体" w:eastAsia="宋体" w:cs="宋体"/>
                <w:color w:val="auto"/>
                <w:kern w:val="0"/>
                <w:sz w:val="13"/>
                <w:szCs w:val="13"/>
                <w:lang w:val="en-US" w:eastAsia="zh-CN"/>
              </w:rPr>
              <w:t>供电营业区的划分，应当考虑电网的结构和供电合理性等因素。一个供电营业区内只设立一个供电营业机构。</w:t>
            </w:r>
          </w:p>
          <w:p w14:paraId="333A7DA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13"/>
                <w:szCs w:val="13"/>
                <w:lang w:val="en-US" w:eastAsia="zh-CN"/>
              </w:rPr>
            </w:pPr>
            <w:r>
              <w:rPr>
                <w:rFonts w:hint="eastAsia" w:ascii="宋体" w:hAnsi="宋体" w:eastAsia="宋体" w:cs="宋体"/>
                <w:color w:val="auto"/>
                <w:kern w:val="0"/>
                <w:sz w:val="13"/>
                <w:szCs w:val="13"/>
                <w:lang w:val="en-US" w:eastAsia="zh-CN"/>
              </w:rPr>
              <w:t>供电营业区的设立、变更，由供电企业提出申请，电力管理部门依据职责和管理权限，会同同级有关部门审查批准后，发给《电力业务许可证》。供电营业区设立、变更的具体办法，由国务院电力管理部门制定。</w:t>
            </w:r>
          </w:p>
          <w:p w14:paraId="2A1EDBAD">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13"/>
                <w:szCs w:val="13"/>
              </w:rPr>
            </w:pPr>
            <w:r>
              <w:rPr>
                <w:rFonts w:hint="eastAsia" w:ascii="宋体" w:hAnsi="宋体" w:eastAsia="宋体" w:cs="宋体"/>
                <w:color w:val="auto"/>
                <w:kern w:val="0"/>
                <w:sz w:val="13"/>
                <w:szCs w:val="13"/>
                <w:lang w:val="en-US" w:eastAsia="zh-CN"/>
              </w:rPr>
              <w:t>【行政法规】《电力供应与使用条例》第九条：供电营业区的设立、变更，由供电企业提出申请，电力管理部门依据职责和管理权限，会同同级有关部门审查批准后，发给《电力业务许可证》。电网经营企业应当根据电网结构和供电合理性的原则协助电力管理部门划分供电营业区。供电营业区的划分和管理办法，由国务院电力管理部门制定。</w:t>
            </w:r>
          </w:p>
          <w:p w14:paraId="1A861A6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仿宋"/>
                <w:snapToGrid w:val="0"/>
                <w:color w:val="auto"/>
                <w:kern w:val="0"/>
                <w:sz w:val="13"/>
                <w:szCs w:val="13"/>
                <w:lang w:val="en-US" w:eastAsia="en-US" w:bidi="ar-SA"/>
              </w:rPr>
            </w:pPr>
            <w:r>
              <w:rPr>
                <w:rFonts w:hint="eastAsia" w:ascii="宋体" w:hAnsi="宋体" w:eastAsia="宋体" w:cs="宋体"/>
                <w:color w:val="auto"/>
                <w:kern w:val="0"/>
                <w:sz w:val="13"/>
                <w:szCs w:val="13"/>
              </w:rPr>
              <w:t>【法律】《</w:t>
            </w:r>
            <w:r>
              <w:rPr>
                <w:rFonts w:hint="eastAsia" w:ascii="宋体" w:hAnsi="宋体" w:eastAsia="宋体" w:cs="宋体"/>
                <w:color w:val="auto"/>
                <w:kern w:val="0"/>
                <w:sz w:val="13"/>
                <w:szCs w:val="13"/>
                <w:lang w:val="en-US" w:eastAsia="zh-CN"/>
              </w:rPr>
              <w:t>中华人民共和国</w:t>
            </w:r>
            <w:r>
              <w:rPr>
                <w:rFonts w:hint="eastAsia" w:ascii="宋体" w:hAnsi="宋体" w:eastAsia="宋体" w:cs="宋体"/>
                <w:color w:val="auto"/>
                <w:kern w:val="0"/>
                <w:sz w:val="13"/>
                <w:szCs w:val="13"/>
              </w:rPr>
              <w:t>电力法》第六十三条 违反本法第二十五条规定，未经许可，从事供电或者变更供电营业区的，由电力管理部门责令改正，没收违法所得，可以并处违法所得五倍以下的罚款。</w:t>
            </w:r>
          </w:p>
        </w:tc>
        <w:tc>
          <w:tcPr>
            <w:tcW w:w="1740" w:type="dxa"/>
            <w:vAlign w:val="center"/>
          </w:tcPr>
          <w:p w14:paraId="335859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2028" w:type="dxa"/>
            <w:vAlign w:val="center"/>
          </w:tcPr>
          <w:p w14:paraId="5152AA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1084" w:type="dxa"/>
            <w:vAlign w:val="top"/>
          </w:tcPr>
          <w:p w14:paraId="6D29F21D">
            <w:pPr>
              <w:pStyle w:val="9"/>
            </w:pPr>
          </w:p>
        </w:tc>
      </w:tr>
      <w:tr w14:paraId="16683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B5C98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w:t>
            </w:r>
          </w:p>
        </w:tc>
        <w:tc>
          <w:tcPr>
            <w:tcW w:w="2878" w:type="dxa"/>
            <w:vAlign w:val="center"/>
          </w:tcPr>
          <w:p w14:paraId="1D74029B">
            <w:pPr>
              <w:widowControl/>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对危害供电、用电安全或者扰乱供电、用电秩序的处罚</w:t>
            </w:r>
          </w:p>
          <w:p w14:paraId="46E60141">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1759" w:type="dxa"/>
            <w:vAlign w:val="center"/>
          </w:tcPr>
          <w:p w14:paraId="524D8EDD">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592FFCE">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color w:val="FF0000"/>
                <w:sz w:val="11"/>
                <w:szCs w:val="11"/>
              </w:rPr>
            </w:pPr>
            <w:r>
              <w:rPr>
                <w:rFonts w:hint="eastAsia" w:ascii="宋体" w:hAnsi="宋体" w:eastAsia="宋体" w:cs="宋体"/>
                <w:color w:val="FF0000"/>
                <w:kern w:val="0"/>
                <w:sz w:val="11"/>
                <w:szCs w:val="11"/>
              </w:rPr>
              <w:t>【法律】《</w:t>
            </w:r>
            <w:r>
              <w:rPr>
                <w:rFonts w:hint="eastAsia" w:ascii="宋体" w:hAnsi="宋体" w:eastAsia="宋体" w:cs="宋体"/>
                <w:color w:val="FF0000"/>
                <w:kern w:val="0"/>
                <w:sz w:val="11"/>
                <w:szCs w:val="11"/>
                <w:lang w:val="en-US" w:eastAsia="zh-CN"/>
              </w:rPr>
              <w:t>中华人民共和国</w:t>
            </w:r>
            <w:r>
              <w:rPr>
                <w:rFonts w:hint="eastAsia" w:ascii="宋体" w:hAnsi="宋体" w:eastAsia="宋体" w:cs="宋体"/>
                <w:color w:val="FF0000"/>
                <w:kern w:val="0"/>
                <w:sz w:val="11"/>
                <w:szCs w:val="11"/>
              </w:rPr>
              <w:t xml:space="preserve">电力法》第三十二条 用户用电不得危害供电、用电安全和扰乱供电、用电秩序。对危害供电、用电安全和扰乱供电、用电秩序的，供电企业有权制止。 </w:t>
            </w:r>
          </w:p>
          <w:p w14:paraId="122CBDE9">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color w:val="FF0000"/>
                <w:sz w:val="11"/>
                <w:szCs w:val="11"/>
              </w:rPr>
            </w:pPr>
            <w:r>
              <w:rPr>
                <w:rFonts w:hint="eastAsia" w:ascii="宋体" w:hAnsi="宋体" w:eastAsia="宋体" w:cs="宋体"/>
                <w:color w:val="FF0000"/>
                <w:kern w:val="0"/>
                <w:sz w:val="11"/>
                <w:szCs w:val="11"/>
              </w:rPr>
              <w:t xml:space="preserve">第六十五条 违反本法第三十二条规定，危害供电、用电安全或者扰乱供电、用电秩序 的，由电力管理部门责令改正，给予警告；情节严重或者拒绝改正的，可以中止供电，可以并处五万元以下的罚款。 </w:t>
            </w:r>
          </w:p>
          <w:p w14:paraId="7E5C33B4">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ascii="宋体" w:hAnsi="宋体" w:eastAsia="宋体" w:cs="宋体"/>
                <w:color w:val="FF0000"/>
                <w:kern w:val="0"/>
                <w:sz w:val="11"/>
                <w:szCs w:val="11"/>
                <w:lang w:eastAsia="zh-CN"/>
              </w:rPr>
            </w:pPr>
            <w:r>
              <w:rPr>
                <w:rFonts w:hint="eastAsia" w:ascii="宋体" w:hAnsi="宋体" w:eastAsia="宋体" w:cs="宋体"/>
                <w:color w:val="FF0000"/>
                <w:kern w:val="0"/>
                <w:sz w:val="11"/>
                <w:szCs w:val="11"/>
              </w:rPr>
              <w:t>【规章】《供用电监督管理办法》（1996年电力工业部令第4号</w:t>
            </w:r>
            <w:r>
              <w:rPr>
                <w:rFonts w:hint="eastAsia" w:ascii="宋体" w:hAnsi="宋体" w:eastAsia="宋体" w:cs="宋体"/>
                <w:color w:val="FF0000"/>
                <w:kern w:val="0"/>
                <w:sz w:val="11"/>
                <w:szCs w:val="11"/>
                <w:lang w:eastAsia="zh-CN"/>
              </w:rPr>
              <w:t>， 根据2024年1月4日，经《中华人民共和国国家发展和改革委员会令 第11号》修订，自2024年3月1日起施行。</w:t>
            </w:r>
            <w:r>
              <w:rPr>
                <w:rFonts w:hint="eastAsia" w:ascii="宋体" w:hAnsi="宋体" w:eastAsia="宋体" w:cs="宋体"/>
                <w:color w:val="FF0000"/>
                <w:kern w:val="0"/>
                <w:sz w:val="11"/>
                <w:szCs w:val="11"/>
              </w:rPr>
              <w:t>） 第</w:t>
            </w:r>
            <w:r>
              <w:rPr>
                <w:rFonts w:hint="eastAsia" w:ascii="宋体" w:hAnsi="宋体" w:eastAsia="宋体" w:cs="宋体"/>
                <w:color w:val="FF0000"/>
                <w:kern w:val="0"/>
                <w:sz w:val="11"/>
                <w:szCs w:val="11"/>
                <w:lang w:val="en-US" w:eastAsia="zh-CN"/>
              </w:rPr>
              <w:t>十九</w:t>
            </w:r>
            <w:r>
              <w:rPr>
                <w:rFonts w:hint="eastAsia" w:ascii="宋体" w:hAnsi="宋体" w:eastAsia="宋体" w:cs="宋体"/>
                <w:color w:val="FF0000"/>
                <w:kern w:val="0"/>
                <w:sz w:val="11"/>
                <w:szCs w:val="11"/>
                <w:lang w:eastAsia="zh-CN"/>
              </w:rPr>
              <w:t>条 电力管理部门对危害供电、用电安全,扰乱正常供电、用电秩序的行为，除协助供电企业追缴电费外,应分别给予下列处罚:1.擅自改变用电类别的,应责令其改正,给予警告;再次发生的,可下达中止供电命令。</w:t>
            </w:r>
          </w:p>
          <w:p w14:paraId="4BCC9C79">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ascii="宋体" w:hAnsi="宋体" w:eastAsia="宋体" w:cs="宋体"/>
                <w:color w:val="FF0000"/>
                <w:kern w:val="0"/>
                <w:sz w:val="11"/>
                <w:szCs w:val="11"/>
                <w:lang w:eastAsia="zh-CN"/>
              </w:rPr>
            </w:pPr>
            <w:r>
              <w:rPr>
                <w:rFonts w:hint="eastAsia" w:ascii="宋体" w:hAnsi="宋体" w:eastAsia="宋体" w:cs="宋体"/>
                <w:color w:val="FF0000"/>
                <w:kern w:val="0"/>
                <w:sz w:val="11"/>
                <w:szCs w:val="11"/>
                <w:lang w:eastAsia="zh-CN"/>
              </w:rPr>
              <w:t>2.擅自超过合同约定的容量用电的,应责令其改正,给予警告;拒绝改正的,可下达中止供电命令。</w:t>
            </w:r>
          </w:p>
          <w:p w14:paraId="255F3860">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ascii="宋体" w:hAnsi="宋体" w:eastAsia="宋体" w:cs="宋体"/>
                <w:color w:val="FF0000"/>
                <w:kern w:val="0"/>
                <w:sz w:val="11"/>
                <w:szCs w:val="11"/>
                <w:lang w:eastAsia="zh-CN"/>
              </w:rPr>
            </w:pPr>
            <w:r>
              <w:rPr>
                <w:rFonts w:hint="eastAsia" w:ascii="宋体" w:hAnsi="宋体" w:eastAsia="宋体" w:cs="宋体"/>
                <w:color w:val="FF0000"/>
                <w:kern w:val="0"/>
                <w:sz w:val="11"/>
                <w:szCs w:val="11"/>
                <w:lang w:eastAsia="zh-CN"/>
              </w:rPr>
              <w:t>3.擅自使用已经在供电企业办理暂停使用手续的电力设备,或者擅自启用已经被供电企业查封的电力设备的,应责令其改正,给予警告;启用电力设备危及电网安全的,可下达中止供电命令。</w:t>
            </w:r>
          </w:p>
          <w:p w14:paraId="24346EDB">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hint="eastAsia" w:ascii="宋体" w:hAnsi="宋体" w:eastAsia="宋体" w:cs="宋体"/>
                <w:color w:val="FF0000"/>
                <w:kern w:val="0"/>
                <w:sz w:val="11"/>
                <w:szCs w:val="11"/>
                <w:lang w:eastAsia="zh-CN"/>
              </w:rPr>
            </w:pPr>
            <w:r>
              <w:rPr>
                <w:rFonts w:hint="eastAsia" w:ascii="宋体" w:hAnsi="宋体" w:eastAsia="宋体" w:cs="宋体"/>
                <w:color w:val="FF0000"/>
                <w:kern w:val="0"/>
                <w:sz w:val="11"/>
                <w:szCs w:val="11"/>
                <w:lang w:eastAsia="zh-CN"/>
              </w:rPr>
              <w:t>4.擅自迁移、更动或者擅自操作供电企业的用电计量装置、电力负荷控制装置、供电设施以及约定由供电企业调度的用户受电设备，且不构成窃电和超指标用电的，应责令其改正，给予警告;造成他人损害的,还应责令其赔偿,危及电网安全的,可下达中止供电命令。</w:t>
            </w:r>
          </w:p>
          <w:p w14:paraId="3BC9D3CB">
            <w:pPr>
              <w:keepNext w:val="0"/>
              <w:keepLines w:val="0"/>
              <w:pageBreakBefore w:val="0"/>
              <w:widowControl/>
              <w:kinsoku/>
              <w:wordWrap/>
              <w:overflowPunct/>
              <w:topLinePunct w:val="0"/>
              <w:autoSpaceDE/>
              <w:autoSpaceDN/>
              <w:bidi w:val="0"/>
              <w:adjustRightInd/>
              <w:snapToGrid/>
              <w:spacing w:line="140" w:lineRule="exact"/>
              <w:jc w:val="left"/>
              <w:textAlignment w:val="auto"/>
              <w:rPr>
                <w:rFonts w:ascii="仿宋" w:hAnsi="仿宋" w:eastAsia="仿宋" w:cs="仿宋"/>
                <w:snapToGrid w:val="0"/>
                <w:color w:val="FF0000"/>
                <w:kern w:val="0"/>
                <w:sz w:val="15"/>
                <w:szCs w:val="15"/>
                <w:lang w:val="en-US" w:eastAsia="en-US" w:bidi="ar-SA"/>
              </w:rPr>
            </w:pPr>
            <w:r>
              <w:rPr>
                <w:rFonts w:hint="eastAsia" w:ascii="宋体" w:hAnsi="宋体" w:eastAsia="宋体" w:cs="宋体"/>
                <w:color w:val="FF0000"/>
                <w:kern w:val="0"/>
                <w:sz w:val="11"/>
                <w:szCs w:val="11"/>
                <w:lang w:eastAsia="zh-CN"/>
              </w:rPr>
              <w:t>5.未经供电企业许可,擅自引人、供出电力或者将自备电源擅自并网的,应责令其改正,给予警告;拒绝改正的,可下达中止供电命令。</w:t>
            </w:r>
          </w:p>
        </w:tc>
        <w:tc>
          <w:tcPr>
            <w:tcW w:w="1740" w:type="dxa"/>
            <w:vAlign w:val="center"/>
          </w:tcPr>
          <w:p w14:paraId="05A366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2028" w:type="dxa"/>
            <w:vAlign w:val="center"/>
          </w:tcPr>
          <w:p w14:paraId="3F389E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1084" w:type="dxa"/>
            <w:vAlign w:val="top"/>
          </w:tcPr>
          <w:p w14:paraId="055AAF45">
            <w:pPr>
              <w:pStyle w:val="9"/>
            </w:pPr>
          </w:p>
        </w:tc>
      </w:tr>
      <w:tr w14:paraId="7F57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F028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w:t>
            </w:r>
          </w:p>
        </w:tc>
        <w:tc>
          <w:tcPr>
            <w:tcW w:w="2878" w:type="dxa"/>
            <w:vAlign w:val="center"/>
          </w:tcPr>
          <w:p w14:paraId="30AC933F">
            <w:pPr>
              <w:widowControl/>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对盗窃电能的处罚</w:t>
            </w:r>
          </w:p>
          <w:p w14:paraId="375287BA">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1759" w:type="dxa"/>
            <w:vAlign w:val="center"/>
          </w:tcPr>
          <w:p w14:paraId="59845DC3">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73727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color w:val="auto"/>
                <w:sz w:val="15"/>
                <w:szCs w:val="15"/>
              </w:rPr>
            </w:pPr>
            <w:r>
              <w:rPr>
                <w:rFonts w:hint="eastAsia" w:ascii="宋体" w:hAnsi="宋体" w:eastAsia="宋体" w:cs="宋体"/>
                <w:color w:val="auto"/>
                <w:kern w:val="0"/>
                <w:sz w:val="15"/>
                <w:szCs w:val="15"/>
              </w:rPr>
              <w:t>【法律】《</w:t>
            </w:r>
            <w:r>
              <w:rPr>
                <w:rFonts w:hint="eastAsia" w:ascii="宋体" w:hAnsi="宋体" w:eastAsia="宋体" w:cs="宋体"/>
                <w:color w:val="auto"/>
                <w:kern w:val="0"/>
                <w:sz w:val="15"/>
                <w:szCs w:val="15"/>
                <w:lang w:val="en-US" w:eastAsia="zh-CN"/>
              </w:rPr>
              <w:t>中华人民共和国</w:t>
            </w:r>
            <w:r>
              <w:rPr>
                <w:rFonts w:hint="eastAsia" w:ascii="宋体" w:hAnsi="宋体" w:eastAsia="宋体" w:cs="宋体"/>
                <w:color w:val="auto"/>
                <w:kern w:val="0"/>
                <w:sz w:val="15"/>
                <w:szCs w:val="15"/>
              </w:rPr>
              <w:t xml:space="preserve">电力法》 第七十一条 盗窃电能的，由电力管理部门责令停止违法行为，追缴电费并处应交电费五倍以下的罚款；构成犯罪的，依照刑法有关规定追究刑事责任。 </w:t>
            </w:r>
          </w:p>
          <w:p w14:paraId="758E1F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color w:val="auto"/>
                <w:sz w:val="15"/>
                <w:szCs w:val="15"/>
              </w:rPr>
            </w:pPr>
            <w:r>
              <w:rPr>
                <w:rFonts w:hint="eastAsia"/>
                <w:color w:val="auto"/>
                <w:sz w:val="15"/>
                <w:szCs w:val="15"/>
              </w:rPr>
              <w:t>【地方性规章】《山西省预防和查处窃电行为办法》（山西</w:t>
            </w:r>
            <w:r>
              <w:rPr>
                <w:rFonts w:hint="eastAsia" w:eastAsia="宋体"/>
                <w:color w:val="auto"/>
                <w:sz w:val="15"/>
                <w:szCs w:val="15"/>
                <w:lang w:val="en-US" w:eastAsia="zh-CN"/>
              </w:rPr>
              <w:t>省</w:t>
            </w:r>
            <w:r>
              <w:rPr>
                <w:rFonts w:hint="eastAsia"/>
                <w:color w:val="auto"/>
                <w:sz w:val="15"/>
                <w:szCs w:val="15"/>
              </w:rPr>
              <w:t>人民政府令第 178 号） 第二十四条第一款 对于查证属实的窃电行为，由县级以上电力管理部门责令停止违法行为，补交电费和违约使用电费，并处以2倍以上5倍以下的罚款；构成犯罪的，依法 追究刑事责任。第二款：单位窃电的，除依照前款规定处罚外，还应当由其上级主管部门或者行政监察机关对主要负责人和直接责任人员给予行政处分，并由县级以上电力管理部门将窃电单位在企业信用网站予以公布。 第二十五条 有下列行为之一的，由县级以上电力管理部门责令停止违法行为，并处以500元的罚款：（一） 教唆他人窃电的；（二）向他人传授窃电技术的；（三）为他人窃电提供便利的。</w:t>
            </w:r>
          </w:p>
          <w:p w14:paraId="68AB5F3A">
            <w:pPr>
              <w:widowControl/>
              <w:spacing w:line="300" w:lineRule="exact"/>
              <w:jc w:val="left"/>
              <w:rPr>
                <w:rFonts w:ascii="仿宋" w:hAnsi="仿宋" w:eastAsia="仿宋" w:cs="仿宋"/>
                <w:snapToGrid w:val="0"/>
                <w:color w:val="auto"/>
                <w:kern w:val="0"/>
                <w:sz w:val="18"/>
                <w:szCs w:val="18"/>
                <w:lang w:val="en-US" w:eastAsia="en-US" w:bidi="ar-SA"/>
              </w:rPr>
            </w:pPr>
          </w:p>
        </w:tc>
        <w:tc>
          <w:tcPr>
            <w:tcW w:w="1740" w:type="dxa"/>
            <w:vAlign w:val="center"/>
          </w:tcPr>
          <w:p w14:paraId="3B5EE0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2028" w:type="dxa"/>
            <w:vAlign w:val="center"/>
          </w:tcPr>
          <w:p w14:paraId="0E1F6B1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1084" w:type="dxa"/>
            <w:vAlign w:val="top"/>
          </w:tcPr>
          <w:p w14:paraId="69C4B759">
            <w:pPr>
              <w:pStyle w:val="9"/>
            </w:pPr>
          </w:p>
        </w:tc>
      </w:tr>
      <w:tr w14:paraId="1D2C2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2EBFC7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5</w:t>
            </w:r>
          </w:p>
        </w:tc>
        <w:tc>
          <w:tcPr>
            <w:tcW w:w="0" w:type="auto"/>
            <w:vAlign w:val="center"/>
          </w:tcPr>
          <w:p w14:paraId="6EC6EF70">
            <w:pPr>
              <w:widowControl/>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对供电企业在发电、供电系统正常情况下，拒绝供电或中断供电的处罚</w:t>
            </w:r>
          </w:p>
          <w:p w14:paraId="7B5FEFCB">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0" w:type="auto"/>
            <w:vAlign w:val="center"/>
          </w:tcPr>
          <w:p w14:paraId="06761985">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F069CBA">
            <w:pPr>
              <w:widowControl/>
              <w:jc w:val="left"/>
              <w:rPr>
                <w:rFonts w:hint="eastAsia"/>
                <w:color w:val="auto"/>
              </w:rPr>
            </w:pPr>
            <w:r>
              <w:rPr>
                <w:rFonts w:hint="eastAsia" w:ascii="宋体" w:hAnsi="宋体" w:eastAsia="宋体" w:cs="宋体"/>
                <w:color w:val="auto"/>
                <w:kern w:val="0"/>
                <w:sz w:val="14"/>
                <w:szCs w:val="14"/>
              </w:rPr>
              <w:t>【法律】《</w:t>
            </w:r>
            <w:r>
              <w:rPr>
                <w:rFonts w:hint="eastAsia" w:ascii="宋体" w:hAnsi="宋体" w:eastAsia="宋体" w:cs="宋体"/>
                <w:color w:val="auto"/>
                <w:kern w:val="0"/>
                <w:sz w:val="14"/>
                <w:szCs w:val="14"/>
                <w:lang w:val="en-US" w:eastAsia="zh-CN"/>
              </w:rPr>
              <w:t>中华人民共和国</w:t>
            </w:r>
            <w:r>
              <w:rPr>
                <w:rFonts w:hint="eastAsia" w:ascii="宋体" w:hAnsi="宋体" w:eastAsia="宋体" w:cs="宋体"/>
                <w:color w:val="auto"/>
                <w:kern w:val="0"/>
                <w:sz w:val="14"/>
                <w:szCs w:val="14"/>
              </w:rPr>
              <w:t xml:space="preserve">电力法》 第二十六条第一款供电营业区内的供电营业机构，对本营业区内的用户有按照国家规定供电的义务；不得违反国家规定对其营业区内申请用电的单位和个人拒绝供电。 </w:t>
            </w:r>
          </w:p>
          <w:p w14:paraId="014798A9">
            <w:pPr>
              <w:widowControl/>
              <w:jc w:val="left"/>
              <w:rPr>
                <w:rFonts w:hint="eastAsia"/>
                <w:color w:val="auto"/>
              </w:rPr>
            </w:pPr>
            <w:r>
              <w:rPr>
                <w:rFonts w:hint="eastAsia" w:ascii="宋体" w:hAnsi="宋体" w:eastAsia="宋体" w:cs="宋体"/>
                <w:color w:val="auto"/>
                <w:kern w:val="0"/>
                <w:sz w:val="14"/>
                <w:szCs w:val="14"/>
              </w:rPr>
              <w:t xml:space="preserve">第二十九条 供电企业在发电、供电系统正常的情况下，应当连续向用户供电，不得中断。因供电设施检修、依法限电或者用户违法用电等原因，需要中断供电时，供电企业应当按照国家有关规定事先通 </w:t>
            </w:r>
          </w:p>
          <w:p w14:paraId="64114843">
            <w:pPr>
              <w:widowControl/>
              <w:jc w:val="left"/>
              <w:rPr>
                <w:rFonts w:hint="eastAsia"/>
                <w:color w:val="auto"/>
              </w:rPr>
            </w:pPr>
            <w:r>
              <w:rPr>
                <w:rFonts w:hint="eastAsia" w:ascii="宋体" w:hAnsi="宋体" w:eastAsia="宋体" w:cs="宋体"/>
                <w:color w:val="auto"/>
                <w:kern w:val="0"/>
                <w:sz w:val="14"/>
                <w:szCs w:val="14"/>
              </w:rPr>
              <w:t xml:space="preserve">知用户。 </w:t>
            </w:r>
          </w:p>
          <w:p w14:paraId="76FC1894">
            <w:pPr>
              <w:widowControl/>
              <w:jc w:val="left"/>
              <w:rPr>
                <w:rFonts w:hint="eastAsia"/>
                <w:color w:val="auto"/>
              </w:rPr>
            </w:pPr>
            <w:r>
              <w:rPr>
                <w:rFonts w:hint="eastAsia" w:ascii="宋体" w:hAnsi="宋体" w:eastAsia="宋体" w:cs="宋体"/>
                <w:color w:val="auto"/>
                <w:kern w:val="0"/>
                <w:sz w:val="14"/>
                <w:szCs w:val="14"/>
              </w:rPr>
              <w:t xml:space="preserve">第六十四条 违反本法第二十六条、第二十九条规定，拒绝供电或者中断供电的，由电力管理部门责令改正，给予警告；情节严重的，对有关主管人员和直接责任人员给予行政处分。 </w:t>
            </w:r>
          </w:p>
          <w:p w14:paraId="15E5B2F3">
            <w:pPr>
              <w:widowControl/>
              <w:spacing w:line="300" w:lineRule="exact"/>
              <w:jc w:val="left"/>
              <w:rPr>
                <w:rFonts w:ascii="仿宋" w:hAnsi="仿宋" w:eastAsia="仿宋" w:cs="仿宋"/>
                <w:snapToGrid w:val="0"/>
                <w:color w:val="auto"/>
                <w:kern w:val="0"/>
                <w:sz w:val="15"/>
                <w:szCs w:val="15"/>
                <w:lang w:val="en-US" w:eastAsia="en-US" w:bidi="ar-SA"/>
              </w:rPr>
            </w:pPr>
          </w:p>
        </w:tc>
        <w:tc>
          <w:tcPr>
            <w:tcW w:w="1740" w:type="dxa"/>
            <w:vAlign w:val="center"/>
          </w:tcPr>
          <w:p w14:paraId="17DD02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B3F02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479AA7C">
            <w:pPr>
              <w:pStyle w:val="9"/>
            </w:pPr>
          </w:p>
        </w:tc>
      </w:tr>
      <w:tr w14:paraId="158CB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183B7A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vAlign w:val="center"/>
          </w:tcPr>
          <w:p w14:paraId="5AE0A96E">
            <w:pPr>
              <w:widowControl/>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对危及电力设施安全的处罚</w:t>
            </w:r>
          </w:p>
          <w:p w14:paraId="77117528">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0" w:type="auto"/>
            <w:vAlign w:val="center"/>
          </w:tcPr>
          <w:p w14:paraId="74A640E7">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70164C0A">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color w:val="auto"/>
                <w:sz w:val="10"/>
                <w:szCs w:val="10"/>
              </w:rPr>
            </w:pPr>
            <w:r>
              <w:rPr>
                <w:rFonts w:hint="eastAsia" w:ascii="宋体" w:hAnsi="宋体" w:eastAsia="宋体" w:cs="宋体"/>
                <w:color w:val="auto"/>
                <w:kern w:val="0"/>
                <w:sz w:val="10"/>
                <w:szCs w:val="10"/>
              </w:rPr>
              <w:t>【法律】《</w:t>
            </w:r>
            <w:r>
              <w:rPr>
                <w:rFonts w:hint="eastAsia" w:ascii="宋体" w:hAnsi="宋体" w:eastAsia="宋体" w:cs="宋体"/>
                <w:color w:val="auto"/>
                <w:kern w:val="0"/>
                <w:sz w:val="10"/>
                <w:szCs w:val="10"/>
                <w:lang w:val="en-US" w:eastAsia="zh-CN"/>
              </w:rPr>
              <w:t>中华人民共和国</w:t>
            </w:r>
            <w:r>
              <w:rPr>
                <w:rFonts w:hint="eastAsia" w:ascii="宋体" w:hAnsi="宋体" w:eastAsia="宋体" w:cs="宋体"/>
                <w:color w:val="auto"/>
                <w:kern w:val="0"/>
                <w:sz w:val="10"/>
                <w:szCs w:val="10"/>
              </w:rPr>
              <w:t xml:space="preserve">电力法》 第五十二条第二款在电力设施周围进行爆破及其他可能危及电力设施安全的作业的，应当按照国务院有关电力设施保护的规定，经批准并采取确保电力设施安全的措施后，方可进行作业。 </w:t>
            </w:r>
          </w:p>
          <w:p w14:paraId="0E34D48A">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hint="eastAsia"/>
                <w:color w:val="auto"/>
                <w:sz w:val="10"/>
                <w:szCs w:val="10"/>
              </w:rPr>
            </w:pPr>
            <w:r>
              <w:rPr>
                <w:rFonts w:hint="eastAsia" w:ascii="宋体" w:hAnsi="宋体" w:eastAsia="宋体" w:cs="宋体"/>
                <w:color w:val="auto"/>
                <w:kern w:val="0"/>
                <w:sz w:val="10"/>
                <w:szCs w:val="10"/>
              </w:rPr>
              <w:t xml:space="preserve">第五十四条 任何单位和个人需要在依法划定的电力设施保护区内进行可能危及电力设施安全的作业时，应当经 电力管理部门批准并采取安全措施后，方可进行作业。 </w:t>
            </w:r>
          </w:p>
          <w:p w14:paraId="52253652">
            <w:pPr>
              <w:keepNext w:val="0"/>
              <w:keepLines w:val="0"/>
              <w:pageBreakBefore w:val="0"/>
              <w:widowControl/>
              <w:kinsoku/>
              <w:wordWrap/>
              <w:overflowPunct/>
              <w:topLinePunct w:val="0"/>
              <w:autoSpaceDE/>
              <w:autoSpaceDN/>
              <w:bidi w:val="0"/>
              <w:adjustRightInd/>
              <w:snapToGrid/>
              <w:spacing w:line="140" w:lineRule="exact"/>
              <w:jc w:val="both"/>
              <w:textAlignment w:val="auto"/>
              <w:rPr>
                <w:rFonts w:ascii="仿宋" w:hAnsi="仿宋" w:eastAsia="仿宋" w:cs="仿宋"/>
                <w:snapToGrid w:val="0"/>
                <w:color w:val="auto"/>
                <w:kern w:val="0"/>
                <w:sz w:val="15"/>
                <w:szCs w:val="15"/>
                <w:lang w:val="en-US" w:eastAsia="en-US" w:bidi="ar-SA"/>
              </w:rPr>
            </w:pPr>
            <w:r>
              <w:rPr>
                <w:rFonts w:hint="eastAsia" w:ascii="宋体" w:hAnsi="宋体" w:eastAsia="宋体" w:cs="宋体"/>
                <w:color w:val="auto"/>
                <w:kern w:val="0"/>
                <w:sz w:val="10"/>
                <w:szCs w:val="10"/>
              </w:rPr>
              <w:t>【地方性法规】</w:t>
            </w:r>
            <w:r>
              <w:rPr>
                <w:rFonts w:hint="eastAsia" w:ascii="宋体" w:hAnsi="宋体" w:eastAsia="宋体" w:cs="宋体"/>
                <w:color w:val="auto"/>
                <w:kern w:val="0"/>
                <w:sz w:val="10"/>
                <w:szCs w:val="10"/>
                <w:lang w:eastAsia="zh-CN"/>
              </w:rPr>
              <w:t>《</w:t>
            </w:r>
            <w:r>
              <w:rPr>
                <w:rFonts w:hint="eastAsia" w:ascii="宋体" w:hAnsi="宋体" w:eastAsia="宋体" w:cs="宋体"/>
                <w:color w:val="auto"/>
                <w:kern w:val="0"/>
                <w:sz w:val="10"/>
                <w:szCs w:val="10"/>
              </w:rPr>
              <w:t>山西省电力设施保护条例</w:t>
            </w:r>
            <w:r>
              <w:rPr>
                <w:rFonts w:hint="eastAsia" w:ascii="宋体" w:hAnsi="宋体" w:eastAsia="宋体" w:cs="宋体"/>
                <w:color w:val="auto"/>
                <w:kern w:val="0"/>
                <w:sz w:val="10"/>
                <w:szCs w:val="10"/>
                <w:lang w:eastAsia="zh-CN"/>
              </w:rPr>
              <w:t>》（山西省人民代表大会常务委员会公告(第十二号））</w:t>
            </w:r>
            <w:r>
              <w:rPr>
                <w:rFonts w:hint="eastAsia" w:ascii="宋体" w:hAnsi="宋体" w:eastAsia="宋体" w:cs="宋体"/>
                <w:color w:val="auto"/>
                <w:kern w:val="0"/>
                <w:sz w:val="10"/>
                <w:szCs w:val="10"/>
                <w:lang w:val="en-US" w:eastAsia="zh-CN"/>
              </w:rPr>
              <w:t>第十一条第二款</w:t>
            </w:r>
            <w:r>
              <w:rPr>
                <w:rFonts w:hint="eastAsia" w:ascii="宋体" w:hAnsi="宋体" w:eastAsia="宋体" w:cs="宋体"/>
                <w:color w:val="auto"/>
                <w:kern w:val="0"/>
                <w:sz w:val="10"/>
                <w:szCs w:val="10"/>
              </w:rPr>
              <w:t xml:space="preserve">  任何单位和个人不得擅自移动、损毁电力设施安全标志和电力线路保护区标志。 第二十四条 任何单位和个人不得有下列危害电力线路设施的行为：（一）在杆塔上悬挂广告牌；（二）擅自在杆塔上搭挂通信、广播等缆线；（三）擅自攀爬变压器台架、杆塔或者拉线；（四）擅自移动、破坏、损毁电力线路上的电气设备及电力通信设施；（五）在架空电力线路导线两侧各三百米的区域内升放飞行器、风筝、气球；（六）其他危害电力线路设 施安全的行为。 第二十五条 在架空电力线路保护区，不得有下列 影响电力设施安全的行为：（一）堆放或者焚烧秸 秆、草料、木材、油料、塑料地膜等物品；（二）取土、开挖、采石、打桩、钻探、爆破、垂钓、燃放烟花爆竹； （三）损坏或者擅自封堵检修专用道路、在建电力设施施工道路，截断施工水源或者电源；（四）涂改、移 动、损坏、拔除电力设施建设的测量标桩或者标记； （五）其他影响电力设施安全的行为。 第二十六条 在电力电缆保护区，不得有下列影响电力设施安全的行为：（一）堆放杂物或倾倒垃圾； （二）使用机械掘土、种植林木，兴建建筑物和构筑物；（三）在封闭式电缆通道内布置热力管道、易燃气（液）管道；（四）擅自在电缆通（管）道敷设其他缆线，堵塞电缆管沟、排管通道；（五）其他影响电力设施安全的行为。 第三十条 违反本条例第十二条第二款规定的，由电力管理部门责令改正，拒不改正的，处二百元以上五百元以下罚款。 第三十三条 违反本条例第二十四条、第二十五条、 第二十六规定，有危害电力设施行为之一的，由电力管理部门责令改正；拒不改正的，对单位处五千元以上一万元以下罚款，或者对个人处二百元以上一千元以下罚款；造成损害的，依法承担民事责任。</w:t>
            </w:r>
          </w:p>
        </w:tc>
        <w:tc>
          <w:tcPr>
            <w:tcW w:w="1740" w:type="dxa"/>
            <w:vAlign w:val="center"/>
          </w:tcPr>
          <w:p w14:paraId="4437AC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6E7E122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846D4AF">
            <w:pPr>
              <w:pStyle w:val="9"/>
            </w:pPr>
          </w:p>
        </w:tc>
      </w:tr>
      <w:tr w14:paraId="1A08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497337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7</w:t>
            </w:r>
          </w:p>
        </w:tc>
        <w:tc>
          <w:tcPr>
            <w:tcW w:w="0" w:type="auto"/>
            <w:vAlign w:val="center"/>
          </w:tcPr>
          <w:p w14:paraId="6EC81325">
            <w:pPr>
              <w:widowControl/>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对电力企业减少农业和农村用电指标的处罚</w:t>
            </w:r>
          </w:p>
          <w:p w14:paraId="2E160EEC">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0" w:type="auto"/>
            <w:vAlign w:val="center"/>
          </w:tcPr>
          <w:p w14:paraId="2F0AB2AA">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BD21D44">
            <w:pPr>
              <w:widowControl/>
              <w:jc w:val="left"/>
              <w:rPr>
                <w:rFonts w:hint="eastAsia"/>
                <w:color w:val="auto"/>
              </w:rPr>
            </w:pPr>
            <w:r>
              <w:rPr>
                <w:rFonts w:hint="eastAsia" w:ascii="宋体" w:hAnsi="宋体" w:eastAsia="宋体" w:cs="宋体"/>
                <w:color w:val="auto"/>
                <w:kern w:val="0"/>
                <w:sz w:val="14"/>
                <w:szCs w:val="14"/>
              </w:rPr>
              <w:t>【法律】《</w:t>
            </w:r>
            <w:r>
              <w:rPr>
                <w:rFonts w:hint="eastAsia" w:ascii="宋体" w:hAnsi="宋体" w:eastAsia="宋体" w:cs="宋体"/>
                <w:color w:val="auto"/>
                <w:kern w:val="0"/>
                <w:sz w:val="14"/>
                <w:szCs w:val="14"/>
                <w:lang w:val="en-US" w:eastAsia="zh-CN"/>
              </w:rPr>
              <w:t>中华人民共和国</w:t>
            </w:r>
            <w:r>
              <w:rPr>
                <w:rFonts w:hint="eastAsia" w:ascii="宋体" w:hAnsi="宋体" w:eastAsia="宋体" w:cs="宋体"/>
                <w:color w:val="auto"/>
                <w:kern w:val="0"/>
                <w:sz w:val="14"/>
                <w:szCs w:val="14"/>
              </w:rPr>
              <w:t xml:space="preserve">电力法》第四十九条第二款电力企业应当执行前款的用电安排，不得减少农业和农村用电指标。 </w:t>
            </w:r>
          </w:p>
          <w:p w14:paraId="7F5374AA">
            <w:pPr>
              <w:widowControl/>
              <w:jc w:val="left"/>
              <w:rPr>
                <w:rFonts w:hint="eastAsia"/>
                <w:color w:val="auto"/>
              </w:rPr>
            </w:pPr>
            <w:r>
              <w:rPr>
                <w:rFonts w:hint="eastAsia" w:ascii="宋体" w:hAnsi="宋体" w:eastAsia="宋体" w:cs="宋体"/>
                <w:color w:val="auto"/>
                <w:kern w:val="0"/>
                <w:sz w:val="14"/>
                <w:szCs w:val="14"/>
              </w:rPr>
              <w:t xml:space="preserve">第六十七条 违反本法第四十九条第二款规定，减少农业和农村用电指标的，由电力管理部门责令改正；情节严重的，对有关主管人员和直接责任人员给予行政处分；造成损失的，责令赔偿损失。 </w:t>
            </w:r>
          </w:p>
          <w:p w14:paraId="1F42E4D2">
            <w:pPr>
              <w:widowControl/>
              <w:spacing w:line="300" w:lineRule="exact"/>
              <w:jc w:val="left"/>
              <w:rPr>
                <w:rFonts w:ascii="仿宋" w:hAnsi="仿宋" w:eastAsia="仿宋" w:cs="仿宋"/>
                <w:snapToGrid w:val="0"/>
                <w:color w:val="auto"/>
                <w:kern w:val="0"/>
                <w:sz w:val="15"/>
                <w:szCs w:val="15"/>
                <w:lang w:val="en-US" w:eastAsia="en-US" w:bidi="ar-SA"/>
              </w:rPr>
            </w:pPr>
          </w:p>
        </w:tc>
        <w:tc>
          <w:tcPr>
            <w:tcW w:w="1740" w:type="dxa"/>
            <w:vAlign w:val="center"/>
          </w:tcPr>
          <w:p w14:paraId="282FA4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24D34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7F946909">
            <w:pPr>
              <w:pStyle w:val="9"/>
            </w:pPr>
          </w:p>
        </w:tc>
      </w:tr>
      <w:tr w14:paraId="2E1B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3AD95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vAlign w:val="center"/>
          </w:tcPr>
          <w:p w14:paraId="1D6227D8">
            <w:pPr>
              <w:spacing w:beforeLines="50" w:afterLines="50"/>
              <w:rPr>
                <w:rFonts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8"/>
                <w:szCs w:val="18"/>
              </w:rPr>
              <w:t>对投资建设固定资产投资项目企业及相关责任人员的行政处罚</w:t>
            </w:r>
          </w:p>
        </w:tc>
        <w:tc>
          <w:tcPr>
            <w:tcW w:w="0" w:type="auto"/>
            <w:vAlign w:val="center"/>
          </w:tcPr>
          <w:p w14:paraId="2DA88B78">
            <w:pPr>
              <w:spacing w:beforeLines="50" w:afterLines="5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322A4596">
            <w:pPr>
              <w:keepNext w:val="0"/>
              <w:keepLines w:val="0"/>
              <w:pageBreakBefore w:val="0"/>
              <w:widowControl/>
              <w:kinsoku/>
              <w:wordWrap/>
              <w:overflowPunct/>
              <w:topLinePunct w:val="0"/>
              <w:autoSpaceDE/>
              <w:autoSpaceDN/>
              <w:bidi w:val="0"/>
              <w:adjustRightInd/>
              <w:snapToGrid/>
              <w:spacing w:line="160" w:lineRule="exact"/>
              <w:jc w:val="left"/>
              <w:textAlignment w:val="auto"/>
              <w:rPr>
                <w:rFonts w:ascii="宋体" w:hAnsi="宋体" w:eastAsia="宋体" w:cs="宋体"/>
                <w:snapToGrid w:val="0"/>
                <w:color w:val="auto"/>
                <w:kern w:val="0"/>
                <w:sz w:val="14"/>
                <w:szCs w:val="14"/>
                <w:lang w:val="en-US" w:eastAsia="zh-CN" w:bidi="ar-SA"/>
              </w:rPr>
            </w:pPr>
            <w:r>
              <w:rPr>
                <w:rFonts w:hint="eastAsia" w:ascii="宋体" w:hAnsi="宋体" w:eastAsia="宋体" w:cs="宋体"/>
                <w:color w:val="auto"/>
                <w:kern w:val="0"/>
                <w:sz w:val="8"/>
                <w:szCs w:val="8"/>
              </w:rPr>
              <w:t>【法规】《企业投资项目核准和备案管理条例》（国务院令第673号）第十八条 实行核准管理的项目，企业未依照本条例规定办理核准手续开工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1‰以上5‰以下的罚款；已经开工建设的，依照前款规定予以处罚；构成犯罪的，依法追究刑事责任。第十九条 实行备案管理的项目，企业未依照本条例规定将项目信息或者已备案项目的信息变更情况告知备案机关，或者向备案机关提供虚假信息的，由备案机关责令限期改正；逾期不改正的，处2万元以上5万元以下的罚款。第二十条 企业投资建设产业政策禁止投资建设项目的，由县级以上人民政府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2.【规章】《企业投资项目核准和备案管理办法》（国家发展改革委令2017年第2号）第五十六条 实行核准管理的项目，企业未依照本条例规定办理核准手续开工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超出或者补办相关手续。以欺骗、贿赂等不正当手段取得项目核准文件，尚未开工建设的，由核准机关撤销核准文件，处项目总投资1‰以上5‰以下的罚款；已经开工建设的，依照前款规定予以处罚；构成犯罪的，依法追究刑事责任。第五十七条 实行备案管理的项目，企业未依照本条例规定将项目信息或者已备案项目的信息变更情况告知备案机关，或者向备案机关提供虚假信息的，由备案机关责令限期改正；逾期不改正的，处2万元以上5万元以下的罚款。第五十八条 企业投资建设产业政策禁止投资建设项目的，由县级以上人民政府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1740" w:type="dxa"/>
            <w:vAlign w:val="center"/>
          </w:tcPr>
          <w:p w14:paraId="0813E4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1068F9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870CC5B">
            <w:pPr>
              <w:pStyle w:val="9"/>
            </w:pPr>
          </w:p>
        </w:tc>
      </w:tr>
      <w:tr w14:paraId="32F7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02BD8C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9</w:t>
            </w:r>
          </w:p>
        </w:tc>
        <w:tc>
          <w:tcPr>
            <w:tcW w:w="0" w:type="auto"/>
            <w:vAlign w:val="center"/>
          </w:tcPr>
          <w:p w14:paraId="5B4D7E6E">
            <w:pPr>
              <w:spacing w:beforeLines="50" w:afterLines="50"/>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对建设单位开工建设的固定资产投资项目未经节能评估和审查或者经审查不符合强制性节能标准的处罚</w:t>
            </w:r>
          </w:p>
          <w:p w14:paraId="1575A9C5">
            <w:pPr>
              <w:spacing w:beforeLines="50" w:afterLines="50"/>
              <w:rPr>
                <w:rFonts w:ascii="仿宋_GB2312" w:hAnsi="仿宋_GB2312" w:eastAsia="仿宋_GB2312" w:cs="仿宋_GB2312"/>
                <w:snapToGrid w:val="0"/>
                <w:color w:val="auto"/>
                <w:kern w:val="0"/>
                <w:sz w:val="18"/>
                <w:szCs w:val="18"/>
                <w:lang w:val="en-US" w:eastAsia="en-US" w:bidi="ar-SA"/>
              </w:rPr>
            </w:pPr>
          </w:p>
        </w:tc>
        <w:tc>
          <w:tcPr>
            <w:tcW w:w="0" w:type="auto"/>
            <w:vAlign w:val="center"/>
          </w:tcPr>
          <w:p w14:paraId="05B2F3E2">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0617797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15"/>
                <w:szCs w:val="15"/>
              </w:rPr>
            </w:pPr>
            <w:r>
              <w:rPr>
                <w:rFonts w:hint="eastAsia" w:ascii="仿宋" w:hAnsi="仿宋" w:eastAsia="仿宋" w:cs="仿宋"/>
                <w:color w:val="auto"/>
                <w:sz w:val="15"/>
                <w:szCs w:val="15"/>
              </w:rPr>
              <w:t>【法律】《</w:t>
            </w:r>
            <w:r>
              <w:rPr>
                <w:rFonts w:hint="eastAsia" w:ascii="仿宋" w:hAnsi="仿宋" w:eastAsia="仿宋" w:cs="仿宋"/>
                <w:color w:val="auto"/>
                <w:sz w:val="15"/>
                <w:szCs w:val="15"/>
                <w:lang w:val="en-US" w:eastAsia="zh-CN"/>
              </w:rPr>
              <w:t>中华人民共和国</w:t>
            </w:r>
            <w:r>
              <w:rPr>
                <w:rFonts w:hint="eastAsia" w:ascii="仿宋" w:hAnsi="仿宋" w:eastAsia="仿宋" w:cs="仿宋"/>
                <w:color w:val="auto"/>
                <w:sz w:val="15"/>
                <w:szCs w:val="15"/>
              </w:rPr>
              <w:t xml:space="preserve">节约能源法》第六十八条 建设单位开工建设不符合强制性节能标准的项目或将该项目投入生产使用的，由管理节能工作的部门责令停止建设或者停止生产、使用，限期改造；不能改造或者逾期不改造的生产性项目，由管理节能工作的部门报请本级人民政府按照国务院规定的权限责令关闭。 </w:t>
            </w:r>
          </w:p>
          <w:p w14:paraId="6C578624">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仿宋"/>
                <w:snapToGrid w:val="0"/>
                <w:color w:val="auto"/>
                <w:kern w:val="0"/>
                <w:sz w:val="15"/>
                <w:szCs w:val="15"/>
                <w:lang w:val="en-US" w:eastAsia="en-US" w:bidi="ar-SA"/>
              </w:rPr>
            </w:pPr>
            <w:r>
              <w:rPr>
                <w:rFonts w:hint="eastAsia" w:ascii="仿宋" w:hAnsi="仿宋" w:eastAsia="仿宋" w:cs="仿宋"/>
                <w:color w:val="FF0000"/>
                <w:sz w:val="15"/>
                <w:szCs w:val="15"/>
              </w:rPr>
              <w:t>【地方性法规】《山西省节约能源条例》</w:t>
            </w:r>
            <w:r>
              <w:rPr>
                <w:rFonts w:hint="eastAsia" w:ascii="仿宋" w:hAnsi="仿宋" w:eastAsia="仿宋" w:cs="仿宋"/>
                <w:color w:val="FF0000"/>
                <w:sz w:val="15"/>
                <w:szCs w:val="15"/>
                <w:lang w:eastAsia="zh-CN"/>
              </w:rPr>
              <w:t>（</w:t>
            </w:r>
            <w:r>
              <w:rPr>
                <w:rFonts w:hint="eastAsia" w:ascii="仿宋" w:hAnsi="仿宋" w:eastAsia="仿宋" w:cs="仿宋"/>
                <w:color w:val="FF0000"/>
                <w:sz w:val="15"/>
                <w:szCs w:val="15"/>
                <w:lang w:val="en-US" w:eastAsia="zh-CN"/>
              </w:rPr>
              <w:t> 2023年9月22日山西省第十四届人民代表大会常务委员会第五次会议修订</w:t>
            </w:r>
            <w:r>
              <w:rPr>
                <w:rFonts w:hint="eastAsia" w:ascii="仿宋" w:hAnsi="仿宋" w:eastAsia="仿宋" w:cs="仿宋"/>
                <w:color w:val="FF0000"/>
                <w:sz w:val="15"/>
                <w:szCs w:val="15"/>
                <w:lang w:eastAsia="zh-CN"/>
              </w:rPr>
              <w:t>）</w:t>
            </w:r>
            <w:r>
              <w:rPr>
                <w:rFonts w:hint="eastAsia" w:ascii="仿宋" w:hAnsi="仿宋" w:eastAsia="仿宋" w:cs="仿宋"/>
                <w:color w:val="FF0000"/>
                <w:sz w:val="15"/>
                <w:szCs w:val="15"/>
              </w:rPr>
              <w:t>第三十九条 违反本条例规定，固定资产投资项目未进行节能验收或者验收不合格擅自投入生产、使用的，由节能主管部门责令限期改正，并处三万元以上五万元以下罚款。</w:t>
            </w:r>
          </w:p>
        </w:tc>
        <w:tc>
          <w:tcPr>
            <w:tcW w:w="1740" w:type="dxa"/>
            <w:vAlign w:val="center"/>
          </w:tcPr>
          <w:p w14:paraId="24B53D3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9C9063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9D4BDC4">
            <w:pPr>
              <w:pStyle w:val="9"/>
            </w:pPr>
          </w:p>
        </w:tc>
      </w:tr>
      <w:tr w14:paraId="2AB39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02BFE7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vAlign w:val="center"/>
          </w:tcPr>
          <w:p w14:paraId="5891A291">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对重点用能单位无正当理由拒不落实整改要求或者整改没有达到要求行为的行政处罚</w:t>
            </w:r>
          </w:p>
        </w:tc>
        <w:tc>
          <w:tcPr>
            <w:tcW w:w="0" w:type="auto"/>
            <w:vAlign w:val="center"/>
          </w:tcPr>
          <w:p w14:paraId="0C62CC70">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1E83E84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14:paraId="6BDD34EF">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14"/>
                <w:szCs w:val="14"/>
              </w:rPr>
            </w:pPr>
            <w:r>
              <w:rPr>
                <w:rFonts w:hint="eastAsia" w:ascii="宋体" w:hAnsi="宋体" w:eastAsia="宋体" w:cs="宋体"/>
                <w:color w:val="auto"/>
                <w:kern w:val="0"/>
                <w:sz w:val="14"/>
                <w:szCs w:val="14"/>
              </w:rPr>
              <w:t>第八十三条  重点用能单位无正当理由拒不落实本法第五十四条规定的整改要求或者整改没有达到要求的，由管理节能工作的部门处十万元以上三十万元以下罚款。"</w:t>
            </w:r>
          </w:p>
          <w:p w14:paraId="106A46AA">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仿宋" w:hAnsi="仿宋" w:eastAsia="仿宋" w:cs="仿宋"/>
                <w:snapToGrid w:val="0"/>
                <w:color w:val="auto"/>
                <w:kern w:val="0"/>
                <w:sz w:val="15"/>
                <w:szCs w:val="15"/>
                <w:lang w:val="en-US" w:eastAsia="en-US" w:bidi="ar-SA"/>
              </w:rPr>
            </w:pP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第二十六条 对节能管理制度不健全、节能措施不落实、能源利用效率低的重点用能单位，管理节能工作的部门应当开展现场调查，组织实施用能设备能源效率检测，责令实施能源审计，并提出书面整改要求，限期整改。重点用能单位无正当理由拒不落实整改要求或者整改没有达到要求的，由管理节能工作的部门处十万元以上三十万元以下罚款。对节能考核结果为未完成等级的重点用能单位，拒不落实管理节能工作的部门要求实施能源审计、报送能源审计报告、提出整改措施并限期整改的，由管理节能工作的部门处一万元以上三万元以下罚款</w:t>
            </w:r>
          </w:p>
        </w:tc>
        <w:tc>
          <w:tcPr>
            <w:tcW w:w="1740" w:type="dxa"/>
            <w:vAlign w:val="center"/>
          </w:tcPr>
          <w:p w14:paraId="27B6BB8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0A1F41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5AC62470">
            <w:pPr>
              <w:pStyle w:val="9"/>
            </w:pPr>
          </w:p>
        </w:tc>
      </w:tr>
      <w:tr w14:paraId="06B25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5769A9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11</w:t>
            </w:r>
          </w:p>
        </w:tc>
        <w:tc>
          <w:tcPr>
            <w:tcW w:w="0" w:type="auto"/>
            <w:vAlign w:val="center"/>
          </w:tcPr>
          <w:p w14:paraId="44CDC119">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对重点用能单位未按规定设立能源管理岗位、聘任能源管理负责人并报管理节能工作的部门和有关部门备案行为的行政处罚</w:t>
            </w:r>
          </w:p>
        </w:tc>
        <w:tc>
          <w:tcPr>
            <w:tcW w:w="0" w:type="auto"/>
            <w:vAlign w:val="center"/>
          </w:tcPr>
          <w:p w14:paraId="5545C3DE">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0F8765BD">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【法律】《中华人民共和国节约能源法》第五十五条第一款  重点用能单位应当设立能源管理岗位，在具有节能专业知识、实际经验以及中级以上技术职称的人员中聘任能源管理负责人，并报管理节能工作的部门和有关部门备案。</w:t>
            </w:r>
          </w:p>
          <w:p w14:paraId="4B990447">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第八十四条  重点用能单位未按照本法规定设立能源管理岗位，聘任能源管理负责人，并报管理节能工作的部门和有关部门备案的，由管理节能工作的部门责令改正；拒不改正的，处一万元以上三万元以下罚款。"</w:t>
            </w:r>
          </w:p>
          <w:p w14:paraId="0C7A2EF0">
            <w:pPr>
              <w:widowControl/>
              <w:spacing w:line="300" w:lineRule="exact"/>
              <w:jc w:val="left"/>
              <w:rPr>
                <w:rFonts w:ascii="宋体" w:hAnsi="宋体" w:eastAsia="宋体" w:cs="宋体"/>
                <w:snapToGrid w:val="0"/>
                <w:color w:val="auto"/>
                <w:kern w:val="0"/>
                <w:sz w:val="11"/>
                <w:szCs w:val="11"/>
                <w:lang w:val="en-US" w:eastAsia="en-US" w:bidi="ar-SA"/>
              </w:rPr>
            </w:pP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第二十七条 重点用能单位未按照本办法规定设立能源管理岗位，指定相应的能源管理负责人并报管理节能工作的部门和有关部门备案的，由管理节能工作的部门责令改正；拒不改正的，处一万元以上三万元以下罚款</w:t>
            </w:r>
          </w:p>
        </w:tc>
        <w:tc>
          <w:tcPr>
            <w:tcW w:w="1740" w:type="dxa"/>
            <w:vAlign w:val="center"/>
          </w:tcPr>
          <w:p w14:paraId="00C881C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1058C2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64F3D684">
            <w:pPr>
              <w:pStyle w:val="9"/>
            </w:pPr>
          </w:p>
        </w:tc>
      </w:tr>
      <w:tr w14:paraId="0C171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66953B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12</w:t>
            </w:r>
          </w:p>
        </w:tc>
        <w:tc>
          <w:tcPr>
            <w:tcW w:w="0" w:type="auto"/>
            <w:vAlign w:val="center"/>
          </w:tcPr>
          <w:p w14:paraId="03FEC7AB">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对重点用能单位未按规定报送能源利用状况报告或者报告内容不实行为的行政处罚</w:t>
            </w:r>
          </w:p>
        </w:tc>
        <w:tc>
          <w:tcPr>
            <w:tcW w:w="0" w:type="auto"/>
            <w:vAlign w:val="center"/>
          </w:tcPr>
          <w:p w14:paraId="4E2165C4">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0CF07A51">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w:t>
            </w:r>
          </w:p>
          <w:p w14:paraId="76A96634">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第八十二条  重点用能单位未按照本法规定报送能源利用状况报告或者报告内容不实的，由管理节能工作的部门责令限期改正；逾期不改正，处一万元以上五万元以下罚款。"</w:t>
            </w:r>
          </w:p>
          <w:p w14:paraId="5278D53E">
            <w:pPr>
              <w:widowControl/>
              <w:spacing w:line="30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第三十条 重点用能单位未按照本办法规定报送能源利用状况报告或者报告内容不实的，由管理节能工作的部门责令限期改正；逾期不改正的，处一万元以上五万元以下罚款</w:t>
            </w:r>
          </w:p>
        </w:tc>
        <w:tc>
          <w:tcPr>
            <w:tcW w:w="1740" w:type="dxa"/>
            <w:vAlign w:val="center"/>
          </w:tcPr>
          <w:p w14:paraId="6290B3A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437FD7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777B4640">
            <w:pPr>
              <w:pStyle w:val="9"/>
            </w:pPr>
          </w:p>
        </w:tc>
      </w:tr>
      <w:tr w14:paraId="0BB8B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77CE09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13</w:t>
            </w:r>
          </w:p>
        </w:tc>
        <w:tc>
          <w:tcPr>
            <w:tcW w:w="0" w:type="auto"/>
            <w:vAlign w:val="center"/>
          </w:tcPr>
          <w:p w14:paraId="798D1364">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对节能服务机构提供虚假信息行为的行政处罚</w:t>
            </w:r>
          </w:p>
        </w:tc>
        <w:tc>
          <w:tcPr>
            <w:tcW w:w="0" w:type="auto"/>
            <w:vAlign w:val="center"/>
          </w:tcPr>
          <w:p w14:paraId="7601CFC8">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A9BCDCD">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w:t>
            </w:r>
          </w:p>
          <w:p w14:paraId="2D3B96E7">
            <w:pPr>
              <w:widowControl/>
              <w:spacing w:line="300" w:lineRule="exact"/>
              <w:jc w:val="left"/>
              <w:rPr>
                <w:rFonts w:ascii="宋体" w:hAnsi="宋体" w:eastAsia="宋体" w:cs="宋体"/>
                <w:snapToGrid w:val="0"/>
                <w:color w:val="auto"/>
                <w:kern w:val="0"/>
                <w:sz w:val="14"/>
                <w:szCs w:val="14"/>
                <w:lang w:val="en-US" w:eastAsia="en-US" w:bidi="ar-SA"/>
              </w:rPr>
            </w:pPr>
            <w:r>
              <w:rPr>
                <w:rFonts w:hint="eastAsia" w:ascii="宋体" w:hAnsi="宋体" w:eastAsia="宋体" w:cs="宋体"/>
                <w:color w:val="auto"/>
                <w:kern w:val="0"/>
                <w:sz w:val="14"/>
                <w:szCs w:val="14"/>
              </w:rPr>
              <w:t>第七十六条  从事节能咨询、设计、评估、检测、审计、认证等服务的机构提供虚假信息的，由管理节能工作的部门责令改正，没收违法所得，并处五万元以上十万元以下罚款。</w:t>
            </w:r>
          </w:p>
        </w:tc>
        <w:tc>
          <w:tcPr>
            <w:tcW w:w="1740" w:type="dxa"/>
            <w:vAlign w:val="center"/>
          </w:tcPr>
          <w:p w14:paraId="61D3A2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01FDE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62E286EA">
            <w:pPr>
              <w:pStyle w:val="9"/>
            </w:pPr>
          </w:p>
        </w:tc>
      </w:tr>
      <w:tr w14:paraId="707D8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304B62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14</w:t>
            </w:r>
          </w:p>
        </w:tc>
        <w:tc>
          <w:tcPr>
            <w:tcW w:w="0" w:type="auto"/>
            <w:vAlign w:val="center"/>
          </w:tcPr>
          <w:p w14:paraId="7F3D463B">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对生产单位超过单位产品能耗限额标准用能行为的行政处罚</w:t>
            </w:r>
          </w:p>
        </w:tc>
        <w:tc>
          <w:tcPr>
            <w:tcW w:w="0" w:type="auto"/>
            <w:vAlign w:val="center"/>
          </w:tcPr>
          <w:p w14:paraId="1E683299">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EDA43E4">
            <w:pPr>
              <w:widowControl/>
              <w:spacing w:line="30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【法律】《中华人民共和国节约能源法》第十六条第二款  生产过程中耗能高的产品的生产单位，应当执行单位产品能耗限额标准。对超过单位产品能耗限额标准用能的生产单位，由管理节能工作的部门按照国务院规定的权限责令限期治理。第七十二条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14:paraId="2480FD52">
            <w:pPr>
              <w:widowControl/>
              <w:spacing w:line="300" w:lineRule="exact"/>
              <w:jc w:val="left"/>
              <w:rPr>
                <w:rFonts w:ascii="宋体" w:hAnsi="宋体" w:eastAsia="宋体" w:cs="宋体"/>
                <w:snapToGrid w:val="0"/>
                <w:color w:val="auto"/>
                <w:kern w:val="0"/>
                <w:sz w:val="14"/>
                <w:szCs w:val="14"/>
                <w:lang w:val="en-US" w:eastAsia="en-US" w:bidi="ar-SA"/>
              </w:rPr>
            </w:pP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第三十二条 重点用能单位超过单位产品能耗限额标准用能，限期治理，逾期不治理或者没有达到治理要求的，由管理节能工作的部门提请执行惩罚性电价。</w:t>
            </w:r>
          </w:p>
        </w:tc>
        <w:tc>
          <w:tcPr>
            <w:tcW w:w="1740" w:type="dxa"/>
            <w:vAlign w:val="center"/>
          </w:tcPr>
          <w:p w14:paraId="2B0E53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4CABD3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56C2A6D8">
            <w:pPr>
              <w:pStyle w:val="9"/>
            </w:pPr>
          </w:p>
        </w:tc>
      </w:tr>
      <w:tr w14:paraId="416C9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40B5C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15</w:t>
            </w:r>
          </w:p>
        </w:tc>
        <w:tc>
          <w:tcPr>
            <w:tcW w:w="0" w:type="auto"/>
            <w:vAlign w:val="center"/>
          </w:tcPr>
          <w:p w14:paraId="06A54C40">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对用能单位违法无偿向本单位职工提供能源或者对能源消费实行包费制的处罚</w:t>
            </w:r>
          </w:p>
        </w:tc>
        <w:tc>
          <w:tcPr>
            <w:tcW w:w="0" w:type="auto"/>
            <w:vAlign w:val="center"/>
          </w:tcPr>
          <w:p w14:paraId="15D0A3A0">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2259AC0E">
            <w:pPr>
              <w:widowControl/>
              <w:spacing w:line="300" w:lineRule="exact"/>
              <w:jc w:val="left"/>
              <w:rPr>
                <w:rFonts w:ascii="宋体" w:hAnsi="宋体" w:eastAsia="宋体" w:cs="宋体"/>
                <w:color w:val="auto"/>
                <w:kern w:val="0"/>
                <w:sz w:val="14"/>
                <w:szCs w:val="14"/>
              </w:rPr>
            </w:pPr>
            <w:r>
              <w:rPr>
                <w:rFonts w:hint="eastAsia" w:ascii="宋体" w:hAnsi="宋体" w:eastAsia="宋体" w:cs="宋体"/>
                <w:color w:val="auto"/>
                <w:kern w:val="0"/>
                <w:sz w:val="14"/>
                <w:szCs w:val="14"/>
              </w:rPr>
              <w:t>【法律】《节约能源法》</w:t>
            </w:r>
          </w:p>
          <w:p w14:paraId="568A3012">
            <w:pPr>
              <w:widowControl/>
              <w:spacing w:line="300" w:lineRule="exact"/>
              <w:jc w:val="left"/>
              <w:rPr>
                <w:rFonts w:ascii="仿宋" w:hAnsi="仿宋" w:eastAsia="仿宋" w:cs="仿宋"/>
                <w:snapToGrid w:val="0"/>
                <w:color w:val="auto"/>
                <w:kern w:val="0"/>
                <w:sz w:val="18"/>
                <w:szCs w:val="18"/>
                <w:lang w:val="en-US" w:eastAsia="en-US" w:bidi="ar-SA"/>
              </w:rPr>
            </w:pPr>
            <w:r>
              <w:rPr>
                <w:rFonts w:hint="eastAsia" w:ascii="宋体" w:hAnsi="宋体" w:eastAsia="宋体" w:cs="宋体"/>
                <w:color w:val="auto"/>
                <w:kern w:val="0"/>
                <w:sz w:val="14"/>
                <w:szCs w:val="14"/>
              </w:rPr>
              <w:t>第七十七条 违反本法规定，无偿向本单位职工提供能源或者对能源消费实行包费制的，由管理节能工作的部门责令限期改正；逾期不改正的，处五万元以上二十万元以下罚款。</w:t>
            </w:r>
          </w:p>
        </w:tc>
        <w:tc>
          <w:tcPr>
            <w:tcW w:w="1740" w:type="dxa"/>
            <w:vAlign w:val="center"/>
          </w:tcPr>
          <w:p w14:paraId="0A34646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15234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CFCC01F">
            <w:pPr>
              <w:pStyle w:val="9"/>
            </w:pPr>
          </w:p>
        </w:tc>
      </w:tr>
      <w:tr w14:paraId="6242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4F392E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16</w:t>
            </w:r>
          </w:p>
        </w:tc>
        <w:tc>
          <w:tcPr>
            <w:tcW w:w="0" w:type="auto"/>
            <w:vAlign w:val="center"/>
          </w:tcPr>
          <w:p w14:paraId="5971F0F8">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对用能单位使用国家明令淘汰的用能设备、生产工艺行为的行政处罚</w:t>
            </w:r>
          </w:p>
        </w:tc>
        <w:tc>
          <w:tcPr>
            <w:tcW w:w="0" w:type="auto"/>
            <w:vAlign w:val="center"/>
          </w:tcPr>
          <w:p w14:paraId="6847556A">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489615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4"/>
                <w:szCs w:val="14"/>
              </w:rPr>
            </w:pPr>
            <w:r>
              <w:rPr>
                <w:rFonts w:hint="eastAsia" w:ascii="宋体" w:hAnsi="宋体" w:eastAsia="宋体" w:cs="宋体"/>
                <w:color w:val="auto"/>
                <w:kern w:val="0"/>
                <w:sz w:val="14"/>
                <w:szCs w:val="14"/>
              </w:rPr>
              <w:t>【法律】《中华人民共和国节约能源法》第十六条第一款  国家对落后的耗能过高的用能产品、设备和生产工艺实行淘汰制度。第十七条  禁止使用国家明令淘汰的用能设备、生产工艺。第七十一条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第三十三条 重点用能单位不按期淘汰落后生产工艺、用能设备和产品的，由管理节能工作的部门责令停止使用，没收国家明令淘汰的用能设备，并按照《中华人民共和国循环经济促进法》有关规</w:t>
            </w:r>
          </w:p>
          <w:p w14:paraId="2F18E8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snapToGrid w:val="0"/>
                <w:color w:val="auto"/>
                <w:kern w:val="0"/>
                <w:sz w:val="10"/>
                <w:szCs w:val="10"/>
                <w:lang w:val="en-US" w:eastAsia="en-US" w:bidi="ar-SA"/>
              </w:rPr>
            </w:pPr>
            <w:r>
              <w:rPr>
                <w:rFonts w:hint="eastAsia" w:ascii="宋体" w:hAnsi="宋体" w:eastAsia="宋体" w:cs="宋体"/>
                <w:color w:val="auto"/>
                <w:kern w:val="0"/>
                <w:sz w:val="14"/>
                <w:szCs w:val="14"/>
              </w:rPr>
              <w:t>定处以罚款；情节严重的，由管理节能工作的部门报请本级人民政府按照国务院规定的权限责令停业整顿或者关闭。</w:t>
            </w:r>
          </w:p>
        </w:tc>
        <w:tc>
          <w:tcPr>
            <w:tcW w:w="1740" w:type="dxa"/>
            <w:vAlign w:val="center"/>
          </w:tcPr>
          <w:p w14:paraId="252EE2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0FFA92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1583119">
            <w:pPr>
              <w:pStyle w:val="9"/>
            </w:pPr>
          </w:p>
        </w:tc>
      </w:tr>
      <w:tr w14:paraId="04EE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3288E8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17</w:t>
            </w:r>
          </w:p>
        </w:tc>
        <w:tc>
          <w:tcPr>
            <w:tcW w:w="0" w:type="auto"/>
            <w:vAlign w:val="center"/>
          </w:tcPr>
          <w:p w14:paraId="0ABF5956">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对重点用能单位不按要求开展能耗在线监测系统建设和能耗在线监测工作的处罚</w:t>
            </w:r>
          </w:p>
        </w:tc>
        <w:tc>
          <w:tcPr>
            <w:tcW w:w="0" w:type="auto"/>
            <w:vAlign w:val="center"/>
          </w:tcPr>
          <w:p w14:paraId="1366F3DE">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22E622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4"/>
                <w:szCs w:val="14"/>
              </w:rPr>
            </w:pP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lang w:val="en-US" w:eastAsia="zh-CN"/>
              </w:rPr>
              <w:t>规章</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《重点用能单位节能管理办法》</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中华人民共和国国家经济贸易委员会令 第7号</w:t>
            </w:r>
            <w:r>
              <w:rPr>
                <w:rFonts w:hint="eastAsia" w:ascii="宋体" w:hAnsi="宋体" w:eastAsia="宋体" w:cs="宋体"/>
                <w:color w:val="auto"/>
                <w:kern w:val="0"/>
                <w:sz w:val="14"/>
                <w:szCs w:val="14"/>
                <w:lang w:eastAsia="zh-CN"/>
              </w:rPr>
              <w:t>）</w:t>
            </w:r>
            <w:r>
              <w:rPr>
                <w:rFonts w:hint="eastAsia" w:ascii="宋体" w:hAnsi="宋体" w:eastAsia="宋体" w:cs="宋体"/>
                <w:color w:val="auto"/>
                <w:kern w:val="0"/>
                <w:sz w:val="14"/>
                <w:szCs w:val="14"/>
              </w:rPr>
              <w:t>第三十一条 重点用能单位不按要求开展能耗在线监测系统建设和能耗在线监测工作的，由管理节能工作的部门以书面形式责令限期整改；逾期不整改的或者没有达到整改要求的，由管理节能工作的部门处一万元以上三万元以下罚款。</w:t>
            </w:r>
          </w:p>
          <w:p w14:paraId="40B339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napToGrid w:val="0"/>
                <w:color w:val="auto"/>
                <w:kern w:val="0"/>
                <w:sz w:val="14"/>
                <w:szCs w:val="14"/>
                <w:lang w:val="en-US" w:eastAsia="en-US" w:bidi="ar-SA"/>
              </w:rPr>
            </w:pPr>
            <w:r>
              <w:rPr>
                <w:rFonts w:hint="eastAsia" w:ascii="宋体" w:hAnsi="宋体" w:eastAsia="宋体" w:cs="宋体"/>
                <w:color w:val="FF0000"/>
                <w:kern w:val="0"/>
                <w:sz w:val="14"/>
                <w:szCs w:val="14"/>
              </w:rPr>
              <w:t>【地方性法规】《山西省节约能源条例》</w:t>
            </w:r>
            <w:r>
              <w:rPr>
                <w:rFonts w:hint="eastAsia" w:ascii="宋体" w:hAnsi="宋体" w:eastAsia="宋体" w:cs="宋体"/>
                <w:color w:val="FF0000"/>
                <w:kern w:val="0"/>
                <w:sz w:val="14"/>
                <w:szCs w:val="14"/>
                <w:lang w:eastAsia="zh-CN"/>
              </w:rPr>
              <w:t>（2023年9月22日山西省第十四届人民代表大会常务委员会第五次会议修订）</w:t>
            </w:r>
            <w:r>
              <w:rPr>
                <w:rFonts w:hint="eastAsia" w:ascii="宋体" w:hAnsi="宋体" w:eastAsia="宋体" w:cs="宋体"/>
                <w:color w:val="FF0000"/>
                <w:kern w:val="0"/>
                <w:sz w:val="14"/>
                <w:szCs w:val="14"/>
              </w:rPr>
              <w:t>第四十条 违反本条例规定，重点用能单位未建设能耗在线监测系统或者未按照要求开展能耗在线监测工作的，由节能主管部门责令限期改正；逾期未改正的，处一万元以上三万元以下罚款。</w:t>
            </w:r>
          </w:p>
        </w:tc>
        <w:tc>
          <w:tcPr>
            <w:tcW w:w="1740" w:type="dxa"/>
            <w:vAlign w:val="center"/>
          </w:tcPr>
          <w:p w14:paraId="6E912B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FB1280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30DA0221">
            <w:pPr>
              <w:pStyle w:val="9"/>
            </w:pPr>
          </w:p>
        </w:tc>
      </w:tr>
      <w:tr w14:paraId="093C0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BE0C9F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18</w:t>
            </w:r>
          </w:p>
        </w:tc>
        <w:tc>
          <w:tcPr>
            <w:tcW w:w="0" w:type="auto"/>
            <w:vAlign w:val="center"/>
          </w:tcPr>
          <w:p w14:paraId="10EAB35F">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对核准的石油、天然气等管道项目违法建设行为的行政处罚</w:t>
            </w:r>
          </w:p>
        </w:tc>
        <w:tc>
          <w:tcPr>
            <w:tcW w:w="0" w:type="auto"/>
            <w:vAlign w:val="center"/>
          </w:tcPr>
          <w:p w14:paraId="46BA61FD">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F824631">
            <w:pPr>
              <w:widowControl/>
              <w:jc w:val="left"/>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rPr>
              <w:t>【规章】《山西省石油天然气管道建设和保护办法》（山西省人民政府令 第242号）第九条 县级以上人民政府主管管道建设和保护工作部门依照法律、法规和有关规定负责管道建设项目的审批或者核准</w:t>
            </w:r>
            <w:r>
              <w:rPr>
                <w:rFonts w:hint="eastAsia" w:ascii="宋体" w:hAnsi="宋体" w:eastAsia="宋体" w:cs="宋体"/>
                <w:color w:val="auto"/>
                <w:kern w:val="0"/>
                <w:sz w:val="15"/>
                <w:szCs w:val="15"/>
                <w:lang w:eastAsia="zh-CN"/>
              </w:rPr>
              <w:t>，审批或者核准程序按照国家和省有关企业投资规定执行，但需国家审批或者核准的除外。</w:t>
            </w:r>
          </w:p>
          <w:p w14:paraId="4B91D672">
            <w:pPr>
              <w:widowControl/>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第二十四条 管道企业有下列行为之一的，由县级以上人民政府主管管道建设和保护工作部门责令限期改正；逾期不改的，处二万元以上十万元以下罚款： </w:t>
            </w:r>
          </w:p>
          <w:p w14:paraId="75B9535C">
            <w:pPr>
              <w:widowControl/>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（一）未经审批或者核准，擅自建设管道的； </w:t>
            </w:r>
          </w:p>
          <w:p w14:paraId="158535C3">
            <w:pPr>
              <w:widowControl/>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（二）擅自改变经审批或者核准设计方案的；</w:t>
            </w:r>
          </w:p>
          <w:p w14:paraId="61BB09EA">
            <w:pPr>
              <w:widowControl/>
              <w:jc w:val="left"/>
              <w:rPr>
                <w:rFonts w:ascii="宋体" w:hAnsi="宋体" w:eastAsia="宋体" w:cs="宋体"/>
                <w:snapToGrid w:val="0"/>
                <w:color w:val="auto"/>
                <w:kern w:val="0"/>
                <w:sz w:val="14"/>
                <w:szCs w:val="14"/>
                <w:lang w:val="en-US" w:eastAsia="en-US" w:bidi="ar-SA"/>
              </w:rPr>
            </w:pPr>
            <w:r>
              <w:rPr>
                <w:rFonts w:hint="eastAsia" w:ascii="宋体" w:hAnsi="宋体" w:eastAsia="宋体" w:cs="宋体"/>
                <w:color w:val="auto"/>
                <w:kern w:val="0"/>
                <w:sz w:val="15"/>
                <w:szCs w:val="15"/>
              </w:rPr>
              <w:t>（三）未经审批或者核准，擅自改建或者搬迁的。</w:t>
            </w:r>
          </w:p>
        </w:tc>
        <w:tc>
          <w:tcPr>
            <w:tcW w:w="1740" w:type="dxa"/>
            <w:vAlign w:val="center"/>
          </w:tcPr>
          <w:p w14:paraId="75C9FA5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0784F55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482E1130">
            <w:pPr>
              <w:pStyle w:val="9"/>
            </w:pPr>
          </w:p>
        </w:tc>
      </w:tr>
      <w:tr w14:paraId="4A63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A2CE88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19</w:t>
            </w:r>
          </w:p>
        </w:tc>
        <w:tc>
          <w:tcPr>
            <w:tcW w:w="0" w:type="auto"/>
            <w:vAlign w:val="center"/>
          </w:tcPr>
          <w:p w14:paraId="1054C89F">
            <w:pPr>
              <w:spacing w:beforeLines="50" w:afterLines="50"/>
              <w:rPr>
                <w:rFonts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8"/>
                <w:szCs w:val="18"/>
              </w:rPr>
              <w:t>对本省行政区域内石油、天然气等管道保护违法违规的行政处罚</w:t>
            </w:r>
          </w:p>
        </w:tc>
        <w:tc>
          <w:tcPr>
            <w:tcW w:w="0" w:type="auto"/>
            <w:vAlign w:val="center"/>
          </w:tcPr>
          <w:p w14:paraId="76095A07">
            <w:pPr>
              <w:spacing w:beforeLines="50" w:afterLines="50"/>
              <w:jc w:val="center"/>
              <w:rPr>
                <w:rFonts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020FE06D">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【规章】《山西省石油天然气管道建设和保护办法》（山西省人民政府令 第242号）</w:t>
            </w:r>
          </w:p>
          <w:p w14:paraId="3FDC522A">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第二十五条 管道企业有下列行为之一的，由县级以上人民政府主管管道建设和保护工作部门责令限期改正；逾期不改正的，处二万元以上十万元以下罚款： </w:t>
            </w:r>
          </w:p>
          <w:p w14:paraId="1BAFEA77">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（一）未建立健全管道安全保护制度的； </w:t>
            </w:r>
          </w:p>
          <w:p w14:paraId="690BC09D">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（二）未完善检测、维修、保养措施的； </w:t>
            </w:r>
          </w:p>
          <w:p w14:paraId="484F40B9">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（三）未制定本企业管道事故应急预案的； </w:t>
            </w:r>
          </w:p>
          <w:p w14:paraId="5A90A610">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（四）未建立应急救援队伍，定期组织演练，储备相应的应急设备和物资的； </w:t>
            </w:r>
          </w:p>
          <w:p w14:paraId="1808ECE6">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 xml:space="preserve">（五）未按照本办法第十九条规定设立警示标志的； </w:t>
            </w:r>
          </w:p>
          <w:p w14:paraId="2EF2878E">
            <w:pPr>
              <w:widowControl/>
              <w:spacing w:line="240" w:lineRule="exact"/>
              <w:jc w:val="left"/>
              <w:rPr>
                <w:rFonts w:ascii="宋体" w:hAnsi="宋体" w:eastAsia="宋体" w:cs="宋体"/>
                <w:snapToGrid w:val="0"/>
                <w:color w:val="auto"/>
                <w:kern w:val="0"/>
                <w:sz w:val="15"/>
                <w:szCs w:val="15"/>
                <w:lang w:val="en-US" w:eastAsia="zh-CN" w:bidi="ar-SA"/>
              </w:rPr>
            </w:pPr>
            <w:r>
              <w:rPr>
                <w:rFonts w:hint="eastAsia" w:ascii="宋体" w:hAnsi="宋体" w:eastAsia="宋体" w:cs="宋体"/>
                <w:color w:val="auto"/>
                <w:kern w:val="0"/>
                <w:sz w:val="15"/>
                <w:szCs w:val="15"/>
              </w:rPr>
              <w:t>（六）发生管道事故，管道企业未采取有效措施消除或者减轻事故危害的。</w:t>
            </w:r>
          </w:p>
        </w:tc>
        <w:tc>
          <w:tcPr>
            <w:tcW w:w="1740" w:type="dxa"/>
            <w:vAlign w:val="center"/>
          </w:tcPr>
          <w:p w14:paraId="5C5CA01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0CE1038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4E5285E7">
            <w:pPr>
              <w:pStyle w:val="9"/>
            </w:pPr>
          </w:p>
        </w:tc>
      </w:tr>
      <w:tr w14:paraId="6872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9C4E02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20</w:t>
            </w:r>
          </w:p>
        </w:tc>
        <w:tc>
          <w:tcPr>
            <w:tcW w:w="0" w:type="auto"/>
            <w:vAlign w:val="center"/>
          </w:tcPr>
          <w:p w14:paraId="00F971F9">
            <w:pPr>
              <w:spacing w:beforeLines="50" w:afterLines="50"/>
              <w:rPr>
                <w:rFonts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8"/>
                <w:szCs w:val="18"/>
              </w:rPr>
              <w:t>对第三方建设工程施工企业管道保护违法违规行为的行政处罚</w:t>
            </w:r>
          </w:p>
        </w:tc>
        <w:tc>
          <w:tcPr>
            <w:tcW w:w="0" w:type="auto"/>
            <w:vAlign w:val="center"/>
          </w:tcPr>
          <w:p w14:paraId="25459F3F">
            <w:pPr>
              <w:spacing w:beforeLines="50" w:afterLines="50"/>
              <w:jc w:val="center"/>
              <w:rPr>
                <w:rFonts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01A4122E">
            <w:pPr>
              <w:widowControl/>
              <w:spacing w:line="240" w:lineRule="exact"/>
              <w:jc w:val="left"/>
              <w:rPr>
                <w:rFonts w:ascii="宋体" w:hAnsi="宋体" w:eastAsia="宋体" w:cs="宋体"/>
                <w:snapToGrid w:val="0"/>
                <w:color w:val="auto"/>
                <w:kern w:val="0"/>
                <w:sz w:val="15"/>
                <w:szCs w:val="15"/>
                <w:lang w:val="en-US" w:eastAsia="zh-CN" w:bidi="ar-SA"/>
              </w:rPr>
            </w:pPr>
            <w:r>
              <w:rPr>
                <w:rFonts w:hint="eastAsia" w:ascii="宋体" w:hAnsi="宋体" w:eastAsia="宋体" w:cs="宋体"/>
                <w:color w:val="auto"/>
                <w:kern w:val="0"/>
                <w:sz w:val="15"/>
                <w:szCs w:val="15"/>
              </w:rPr>
              <w:t>【规章】《山西省石油天然气管道建设和保护办法》（山西省人民政府令 第242号）第二十六条 “其他建设工程施工企业施工作业损坏管道，未立即通知管道企业，并采取相应保护措施的，由县级以上人民政府主管管道建设和保护工作部门责令停止违法行为；情节较重的，处一万元以上五万元以下的罚款；造成损失的，依法承担赔偿责任。”</w:t>
            </w:r>
          </w:p>
        </w:tc>
        <w:tc>
          <w:tcPr>
            <w:tcW w:w="1740" w:type="dxa"/>
            <w:vAlign w:val="center"/>
          </w:tcPr>
          <w:p w14:paraId="68B5F97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A09F4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3C99699">
            <w:pPr>
              <w:pStyle w:val="9"/>
            </w:pPr>
          </w:p>
        </w:tc>
      </w:tr>
      <w:tr w14:paraId="6121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0E40582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21</w:t>
            </w:r>
          </w:p>
        </w:tc>
        <w:tc>
          <w:tcPr>
            <w:tcW w:w="0" w:type="auto"/>
            <w:vAlign w:val="center"/>
          </w:tcPr>
          <w:p w14:paraId="732E094C">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对开采煤炭资源未达到国务院煤炭管理部门规定的煤炭资源回采率的处罚</w:t>
            </w:r>
          </w:p>
        </w:tc>
        <w:tc>
          <w:tcPr>
            <w:tcW w:w="0" w:type="auto"/>
            <w:vAlign w:val="center"/>
          </w:tcPr>
          <w:p w14:paraId="20A333D5">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C781B1F">
            <w:pPr>
              <w:spacing w:beforeLines="50" w:afterLines="50"/>
              <w:rPr>
                <w:rFonts w:hint="eastAsia" w:ascii="仿宋" w:hAnsi="仿宋" w:eastAsia="仿宋" w:cs="仿宋"/>
                <w:color w:val="auto"/>
                <w:sz w:val="15"/>
                <w:szCs w:val="15"/>
              </w:rPr>
            </w:pPr>
            <w:r>
              <w:rPr>
                <w:rFonts w:hint="eastAsia" w:ascii="仿宋" w:hAnsi="仿宋" w:eastAsia="仿宋" w:cs="仿宋"/>
                <w:color w:val="auto"/>
                <w:sz w:val="15"/>
                <w:szCs w:val="15"/>
              </w:rPr>
              <w:t>【法律】《煤炭法》 第二十</w:t>
            </w:r>
            <w:r>
              <w:rPr>
                <w:rFonts w:hint="eastAsia" w:ascii="仿宋" w:hAnsi="仿宋" w:eastAsia="仿宋" w:cs="仿宋"/>
                <w:color w:val="auto"/>
                <w:sz w:val="15"/>
                <w:szCs w:val="15"/>
                <w:lang w:val="en-US" w:eastAsia="zh-CN"/>
              </w:rPr>
              <w:t>二</w:t>
            </w:r>
            <w:r>
              <w:rPr>
                <w:rFonts w:hint="eastAsia" w:ascii="仿宋" w:hAnsi="仿宋" w:eastAsia="仿宋" w:cs="仿宋"/>
                <w:color w:val="auto"/>
                <w:sz w:val="15"/>
                <w:szCs w:val="15"/>
              </w:rPr>
              <w:t xml:space="preserve">条 </w:t>
            </w:r>
            <w:r>
              <w:rPr>
                <w:rFonts w:hint="eastAsia" w:ascii="仿宋" w:hAnsi="仿宋" w:eastAsia="仿宋" w:cs="仿宋"/>
                <w:color w:val="auto"/>
                <w:sz w:val="15"/>
                <w:szCs w:val="15"/>
                <w:lang w:val="en-US" w:eastAsia="zh-CN"/>
              </w:rPr>
              <w:t>开采煤炭资源必须符合煤矿开采规程，遵守合理的开采顺序，达到规定的煤炭资源回采率。</w:t>
            </w:r>
          </w:p>
          <w:p w14:paraId="3BC99346">
            <w:pPr>
              <w:spacing w:beforeLines="50" w:afterLines="50"/>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煤炭资源回采率由国务院煤炭管理部门根据不同的资源和开采条件确定。</w:t>
            </w:r>
          </w:p>
          <w:p w14:paraId="40107712">
            <w:pPr>
              <w:spacing w:beforeLines="50" w:afterLines="50"/>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国家鼓励煤矿企业进行复采或者开采边角残煤和极薄煤。</w:t>
            </w:r>
          </w:p>
          <w:p w14:paraId="6C0377F2">
            <w:pPr>
              <w:spacing w:beforeLines="50" w:afterLines="50"/>
              <w:rPr>
                <w:rFonts w:ascii="宋体" w:hAnsi="宋体" w:eastAsia="宋体" w:cs="宋体"/>
                <w:snapToGrid w:val="0"/>
                <w:color w:val="auto"/>
                <w:kern w:val="0"/>
                <w:sz w:val="14"/>
                <w:szCs w:val="14"/>
                <w:lang w:val="en-US" w:eastAsia="en-US" w:bidi="ar-SA"/>
              </w:rPr>
            </w:pPr>
            <w:r>
              <w:rPr>
                <w:rFonts w:hint="eastAsia" w:ascii="仿宋" w:hAnsi="仿宋" w:eastAsia="仿宋" w:cs="仿宋"/>
                <w:color w:val="auto"/>
                <w:sz w:val="15"/>
                <w:szCs w:val="15"/>
              </w:rPr>
              <w:t xml:space="preserve"> 第五十</w:t>
            </w:r>
            <w:r>
              <w:rPr>
                <w:rFonts w:hint="eastAsia" w:ascii="仿宋" w:hAnsi="仿宋" w:eastAsia="仿宋" w:cs="仿宋"/>
                <w:color w:val="auto"/>
                <w:sz w:val="15"/>
                <w:szCs w:val="15"/>
                <w:lang w:val="en-US" w:eastAsia="zh-CN"/>
              </w:rPr>
              <w:t>七</w:t>
            </w:r>
            <w:r>
              <w:rPr>
                <w:rFonts w:hint="eastAsia" w:ascii="仿宋" w:hAnsi="仿宋" w:eastAsia="仿宋" w:cs="仿宋"/>
                <w:color w:val="auto"/>
                <w:sz w:val="15"/>
                <w:szCs w:val="15"/>
              </w:rPr>
              <w:t>条 违反本法第二十二条的规定，开采煤炭资源未达到国务院煤炭管理部门规定的煤炭资源回采率的，由煤炭管理部门责令限期改正；逾期仍达不到规定的回采率的，责令停止生产。</w:t>
            </w:r>
          </w:p>
        </w:tc>
        <w:tc>
          <w:tcPr>
            <w:tcW w:w="1740" w:type="dxa"/>
            <w:vAlign w:val="center"/>
          </w:tcPr>
          <w:p w14:paraId="078AC3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6D87EB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2442EAF">
            <w:pPr>
              <w:pStyle w:val="9"/>
            </w:pPr>
          </w:p>
        </w:tc>
      </w:tr>
      <w:tr w14:paraId="1BBB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D29DC8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22</w:t>
            </w:r>
          </w:p>
        </w:tc>
        <w:tc>
          <w:tcPr>
            <w:tcW w:w="0" w:type="auto"/>
            <w:vAlign w:val="center"/>
          </w:tcPr>
          <w:p w14:paraId="45D93095">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对煤矿企业违反开采顺序丢弃可采煤炭留设煤柱不符合规定未提交回采率报告的处罚</w:t>
            </w:r>
          </w:p>
        </w:tc>
        <w:tc>
          <w:tcPr>
            <w:tcW w:w="0" w:type="auto"/>
            <w:vAlign w:val="center"/>
          </w:tcPr>
          <w:p w14:paraId="254EEB0F">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71BFD86">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【规章】《生产煤矿回采率管理暂行规定》（2012年国家发展和改革委员会令第17号）</w:t>
            </w:r>
          </w:p>
          <w:p w14:paraId="1174A0F3">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 xml:space="preserve">    第二十九条 煤矿企业有下列情况之一的，由煤炭行业管理部门责令限期改正；逾期不改正的，处三万元罚款；构成犯罪的，依法追究刑事责任：</w:t>
            </w:r>
          </w:p>
          <w:p w14:paraId="3733615F">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 xml:space="preserve">    （一）对可采煤层丢弃不采的；</w:t>
            </w:r>
          </w:p>
          <w:p w14:paraId="63F8C1E6">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 xml:space="preserve">    （二）违反开采顺序的；</w:t>
            </w:r>
          </w:p>
          <w:p w14:paraId="6600536D">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 xml:space="preserve">    （三）一次采全高开采丢顶煤、底煤或者用煤皮作假顶的；</w:t>
            </w:r>
          </w:p>
          <w:p w14:paraId="3B1930EE">
            <w:pPr>
              <w:spacing w:beforeLines="50" w:afterLines="50"/>
              <w:rPr>
                <w:rFonts w:ascii="仿宋" w:hAnsi="仿宋" w:eastAsia="仿宋" w:cs="仿宋"/>
                <w:color w:val="auto"/>
                <w:sz w:val="15"/>
                <w:szCs w:val="15"/>
              </w:rPr>
            </w:pPr>
            <w:r>
              <w:rPr>
                <w:rFonts w:hint="eastAsia" w:ascii="仿宋" w:hAnsi="仿宋" w:eastAsia="仿宋" w:cs="仿宋"/>
                <w:color w:val="auto"/>
                <w:sz w:val="15"/>
                <w:szCs w:val="15"/>
              </w:rPr>
              <w:t xml:space="preserve">    （四）留设保护煤柱不符合有关规定的；</w:t>
            </w:r>
          </w:p>
          <w:p w14:paraId="4495D7EA">
            <w:pPr>
              <w:spacing w:beforeLines="50" w:afterLines="50"/>
              <w:rPr>
                <w:rFonts w:ascii="宋体" w:hAnsi="宋体" w:eastAsia="宋体" w:cs="宋体"/>
                <w:snapToGrid w:val="0"/>
                <w:color w:val="auto"/>
                <w:kern w:val="0"/>
                <w:sz w:val="14"/>
                <w:szCs w:val="14"/>
                <w:lang w:val="en-US" w:eastAsia="en-US" w:bidi="ar-SA"/>
              </w:rPr>
            </w:pPr>
            <w:r>
              <w:rPr>
                <w:rFonts w:hint="eastAsia" w:ascii="仿宋" w:hAnsi="仿宋" w:eastAsia="仿宋" w:cs="仿宋"/>
                <w:color w:val="auto"/>
                <w:sz w:val="15"/>
                <w:szCs w:val="15"/>
              </w:rPr>
              <w:t xml:space="preserve">    （五）未按规定提交采区回率报告的。</w:t>
            </w:r>
          </w:p>
        </w:tc>
        <w:tc>
          <w:tcPr>
            <w:tcW w:w="1740" w:type="dxa"/>
            <w:vAlign w:val="center"/>
          </w:tcPr>
          <w:p w14:paraId="151734D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DBEDF5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41656AF5">
            <w:pPr>
              <w:pStyle w:val="9"/>
            </w:pPr>
          </w:p>
        </w:tc>
      </w:tr>
      <w:tr w14:paraId="09029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0CEDB3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23</w:t>
            </w:r>
          </w:p>
        </w:tc>
        <w:tc>
          <w:tcPr>
            <w:tcW w:w="0" w:type="auto"/>
            <w:vAlign w:val="center"/>
          </w:tcPr>
          <w:p w14:paraId="33118CC1">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对煤矿企业和煤炭经营企业在煤炭产品中掺杂、掺假，以次充好进行经营或销售的处罚</w:t>
            </w:r>
          </w:p>
        </w:tc>
        <w:tc>
          <w:tcPr>
            <w:tcW w:w="0" w:type="auto"/>
            <w:vAlign w:val="center"/>
          </w:tcPr>
          <w:p w14:paraId="03601699">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043F588C">
            <w:pPr>
              <w:spacing w:beforeLines="50" w:afterLines="50"/>
              <w:rPr>
                <w:rFonts w:ascii="仿宋" w:hAnsi="仿宋" w:eastAsia="仿宋" w:cs="仿宋"/>
                <w:color w:val="auto"/>
                <w:sz w:val="18"/>
                <w:szCs w:val="18"/>
              </w:rPr>
            </w:pPr>
            <w:r>
              <w:rPr>
                <w:rFonts w:hint="eastAsia" w:ascii="仿宋" w:hAnsi="仿宋" w:eastAsia="仿宋" w:cs="仿宋"/>
                <w:color w:val="auto"/>
                <w:sz w:val="18"/>
                <w:szCs w:val="18"/>
              </w:rPr>
              <w:t>【法律】《煤炭法》</w:t>
            </w:r>
          </w:p>
          <w:p w14:paraId="5285CE81">
            <w:pPr>
              <w:spacing w:beforeLines="50" w:afterLines="50"/>
              <w:rPr>
                <w:rFonts w:hint="eastAsia" w:ascii="仿宋" w:hAnsi="仿宋" w:eastAsia="仿宋" w:cs="仿宋"/>
                <w:color w:val="auto"/>
                <w:sz w:val="18"/>
                <w:szCs w:val="18"/>
              </w:rPr>
            </w:pPr>
            <w:r>
              <w:rPr>
                <w:rFonts w:hint="eastAsia" w:ascii="仿宋" w:hAnsi="仿宋" w:eastAsia="仿宋" w:cs="仿宋"/>
                <w:color w:val="auto"/>
                <w:sz w:val="18"/>
                <w:szCs w:val="18"/>
              </w:rPr>
              <w:t xml:space="preserve">    第四十</w:t>
            </w:r>
            <w:r>
              <w:rPr>
                <w:rFonts w:hint="eastAsia" w:ascii="仿宋" w:hAnsi="仿宋" w:eastAsia="仿宋" w:cs="仿宋"/>
                <w:color w:val="auto"/>
                <w:sz w:val="18"/>
                <w:szCs w:val="18"/>
                <w:lang w:val="en-US" w:eastAsia="zh-CN"/>
              </w:rPr>
              <w:t>三</w:t>
            </w:r>
            <w:r>
              <w:rPr>
                <w:rFonts w:hint="eastAsia" w:ascii="仿宋" w:hAnsi="仿宋" w:eastAsia="仿宋" w:cs="仿宋"/>
                <w:color w:val="auto"/>
                <w:sz w:val="18"/>
                <w:szCs w:val="18"/>
              </w:rPr>
              <w:t xml:space="preserve">条 </w:t>
            </w:r>
            <w:r>
              <w:rPr>
                <w:rFonts w:hint="eastAsia" w:ascii="仿宋" w:hAnsi="仿宋" w:eastAsia="仿宋" w:cs="仿宋"/>
                <w:color w:val="auto"/>
                <w:sz w:val="18"/>
                <w:szCs w:val="18"/>
                <w:lang w:val="en-US" w:eastAsia="zh-CN"/>
              </w:rPr>
              <w:t>煤矿企业和煤炭经营企业供应用户的煤炭质量应当符合国家标准或者行业标准，质级相符，质价相符。用户对煤炭质量有特殊要求的，由供需双方在煤炭购销合同中约定。</w:t>
            </w:r>
          </w:p>
          <w:p w14:paraId="60D3FB42">
            <w:pPr>
              <w:spacing w:beforeLines="50" w:afterLines="5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煤矿企业和煤炭经营企业不得在煤炭中掺杂、掺假，以次充好。</w:t>
            </w:r>
          </w:p>
          <w:p w14:paraId="72F04240">
            <w:pPr>
              <w:spacing w:beforeLines="50" w:afterLines="50"/>
              <w:rPr>
                <w:rFonts w:ascii="宋体" w:hAnsi="宋体" w:eastAsia="宋体" w:cs="宋体"/>
                <w:snapToGrid w:val="0"/>
                <w:color w:val="auto"/>
                <w:kern w:val="0"/>
                <w:sz w:val="14"/>
                <w:szCs w:val="14"/>
                <w:lang w:val="en-US" w:eastAsia="en-US" w:bidi="ar-SA"/>
              </w:rPr>
            </w:pPr>
            <w:r>
              <w:rPr>
                <w:rFonts w:hint="eastAsia" w:ascii="仿宋" w:hAnsi="仿宋" w:eastAsia="仿宋" w:cs="仿宋"/>
                <w:color w:val="auto"/>
                <w:sz w:val="18"/>
                <w:szCs w:val="18"/>
              </w:rPr>
              <w:t xml:space="preserve">    第</w:t>
            </w:r>
            <w:r>
              <w:rPr>
                <w:rFonts w:hint="eastAsia" w:ascii="仿宋" w:hAnsi="仿宋" w:eastAsia="仿宋" w:cs="仿宋"/>
                <w:color w:val="auto"/>
                <w:sz w:val="18"/>
                <w:szCs w:val="18"/>
                <w:lang w:val="en-US" w:eastAsia="zh-CN"/>
              </w:rPr>
              <w:t>五十九</w:t>
            </w:r>
            <w:r>
              <w:rPr>
                <w:rFonts w:hint="eastAsia" w:ascii="仿宋" w:hAnsi="仿宋" w:eastAsia="仿宋" w:cs="仿宋"/>
                <w:color w:val="auto"/>
                <w:sz w:val="18"/>
                <w:szCs w:val="18"/>
              </w:rPr>
              <w:t>条 违反本法第四十三条的规定，在煤炭产品中掺杂、掺假，以次充好的，责令停止销售，没收违法所得，并处违法所得一倍以上五倍以下的罚款；构成犯罪的，由司法机关依法追究刑事责任。</w:t>
            </w:r>
          </w:p>
        </w:tc>
        <w:tc>
          <w:tcPr>
            <w:tcW w:w="1740" w:type="dxa"/>
            <w:vAlign w:val="center"/>
          </w:tcPr>
          <w:p w14:paraId="16E2E14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018A4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C022580">
            <w:pPr>
              <w:pStyle w:val="9"/>
            </w:pPr>
          </w:p>
        </w:tc>
      </w:tr>
      <w:tr w14:paraId="52D8B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0AA6492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24</w:t>
            </w:r>
          </w:p>
        </w:tc>
        <w:tc>
          <w:tcPr>
            <w:tcW w:w="0" w:type="auto"/>
            <w:vAlign w:val="center"/>
          </w:tcPr>
          <w:p w14:paraId="70D1A8C9">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对建设单位未取得施工许可证或者开工报告未经批准，擅自施工的行政处罚</w:t>
            </w:r>
          </w:p>
        </w:tc>
        <w:tc>
          <w:tcPr>
            <w:tcW w:w="0" w:type="auto"/>
            <w:vAlign w:val="center"/>
          </w:tcPr>
          <w:p w14:paraId="0ED559E1">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58C3FBB">
            <w:pPr>
              <w:widowControl/>
              <w:jc w:val="left"/>
              <w:rPr>
                <w:rFonts w:ascii="宋体" w:hAnsi="宋体" w:eastAsia="宋体" w:cs="宋体"/>
                <w:snapToGrid w:val="0"/>
                <w:color w:val="auto"/>
                <w:kern w:val="0"/>
                <w:sz w:val="14"/>
                <w:szCs w:val="14"/>
                <w:lang w:val="en-US" w:eastAsia="en-US" w:bidi="ar-SA"/>
              </w:rPr>
            </w:pPr>
            <w:r>
              <w:rPr>
                <w:rFonts w:hint="eastAsia" w:ascii="宋体" w:hAnsi="宋体" w:eastAsia="宋体" w:cs="宋体"/>
                <w:color w:val="auto"/>
                <w:kern w:val="0"/>
                <w:sz w:val="18"/>
                <w:szCs w:val="18"/>
              </w:rPr>
              <w:t>【行政法规】《建设工程质量管理条例》（中华人民共和国国务院令第279号）第五十七条：“违反本条例规定，建设单位未取得施工许可证或者开工报告未经批准，擅自施工的，责令停止施工，限期改正，处工程合同价款百分之一以上百分之二以下的罚款。”</w:t>
            </w:r>
          </w:p>
        </w:tc>
        <w:tc>
          <w:tcPr>
            <w:tcW w:w="1740" w:type="dxa"/>
            <w:vAlign w:val="center"/>
          </w:tcPr>
          <w:p w14:paraId="5799720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54FC93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2329023">
            <w:pPr>
              <w:pStyle w:val="9"/>
            </w:pPr>
          </w:p>
        </w:tc>
      </w:tr>
      <w:tr w14:paraId="4EAD8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6688C3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25</w:t>
            </w:r>
          </w:p>
        </w:tc>
        <w:tc>
          <w:tcPr>
            <w:tcW w:w="0" w:type="auto"/>
            <w:vAlign w:val="center"/>
          </w:tcPr>
          <w:p w14:paraId="2BD4B0C2">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对监理单位与建设单位或施工单位串通、弄虚作假、降低工程质量或将不合格的建设工程、建筑材料、建筑构配件和设备按照合格签字的行政处罚</w:t>
            </w:r>
          </w:p>
        </w:tc>
        <w:tc>
          <w:tcPr>
            <w:tcW w:w="0" w:type="auto"/>
            <w:vAlign w:val="center"/>
          </w:tcPr>
          <w:p w14:paraId="1EE0BD5A">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CB86B0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行政法规】《建设工程质量管理条例》（中华人民共和国国务院令第279号）第六十七条：“工程监理单位有下列行为之一的，责令改正，处50万元以上100万元以下的罚款，降低资质等级或者吊销资质证书；有违法所得的，予以没收；造成损失的，承担连带赔偿责任：</w:t>
            </w:r>
          </w:p>
          <w:p w14:paraId="0115C97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（一）与建设单位或者施工单位串通，弄虚作假、降低工程质量的；</w:t>
            </w:r>
          </w:p>
          <w:p w14:paraId="1479B975">
            <w:pPr>
              <w:widowControl/>
              <w:jc w:val="left"/>
              <w:rPr>
                <w:rFonts w:ascii="宋体" w:hAnsi="宋体" w:eastAsia="宋体" w:cs="宋体"/>
                <w:snapToGrid w:val="0"/>
                <w:color w:val="auto"/>
                <w:kern w:val="0"/>
                <w:sz w:val="14"/>
                <w:szCs w:val="14"/>
                <w:lang w:val="en-US" w:eastAsia="en-US" w:bidi="ar-SA"/>
              </w:rPr>
            </w:pPr>
            <w:r>
              <w:rPr>
                <w:rFonts w:hint="eastAsia" w:ascii="宋体" w:hAnsi="宋体" w:eastAsia="宋体" w:cs="宋体"/>
                <w:color w:val="auto"/>
                <w:kern w:val="0"/>
                <w:sz w:val="18"/>
                <w:szCs w:val="18"/>
              </w:rPr>
              <w:t>（二）将不合格的建设工程、建筑材料、建筑构配件和设备按照合格签字的。</w:t>
            </w:r>
          </w:p>
        </w:tc>
        <w:tc>
          <w:tcPr>
            <w:tcW w:w="1740" w:type="dxa"/>
            <w:vAlign w:val="center"/>
          </w:tcPr>
          <w:p w14:paraId="2363784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C3BDDF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7C812F15">
            <w:pPr>
              <w:pStyle w:val="9"/>
            </w:pPr>
          </w:p>
        </w:tc>
      </w:tr>
      <w:tr w14:paraId="1F6FA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575795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26</w:t>
            </w:r>
          </w:p>
        </w:tc>
        <w:tc>
          <w:tcPr>
            <w:tcW w:w="0" w:type="auto"/>
            <w:vAlign w:val="center"/>
          </w:tcPr>
          <w:p w14:paraId="74E97FC0">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对涉及建筑主体或者承重结构变动的装修工程，没有设计方案擅自施工的和房屋建筑使用者在装修过程中擅自变动房屋建筑主体和承重结构的行政处罚</w:t>
            </w:r>
          </w:p>
        </w:tc>
        <w:tc>
          <w:tcPr>
            <w:tcW w:w="0" w:type="auto"/>
            <w:vAlign w:val="center"/>
          </w:tcPr>
          <w:p w14:paraId="3D85A88F">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1E962F5F">
            <w:pPr>
              <w:widowControl/>
              <w:jc w:val="left"/>
              <w:rPr>
                <w:rFonts w:ascii="宋体" w:hAnsi="宋体" w:eastAsia="宋体" w:cs="宋体"/>
                <w:snapToGrid w:val="0"/>
                <w:color w:val="auto"/>
                <w:kern w:val="0"/>
                <w:sz w:val="10"/>
                <w:szCs w:val="10"/>
                <w:lang w:val="en-US" w:eastAsia="en-US" w:bidi="ar-SA"/>
              </w:rPr>
            </w:pPr>
            <w:r>
              <w:rPr>
                <w:rFonts w:hint="eastAsia" w:ascii="宋体" w:hAnsi="宋体" w:eastAsia="宋体" w:cs="宋体"/>
                <w:color w:val="auto"/>
                <w:kern w:val="0"/>
                <w:sz w:val="18"/>
                <w:szCs w:val="18"/>
              </w:rPr>
              <w:t>【行政法规】《建设工程质量管理条例》（中华人民共和国国务院令第279号）第六十九条</w:t>
            </w:r>
            <w:r>
              <w:rPr>
                <w:rFonts w:hint="eastAsia" w:ascii="宋体" w:hAnsi="宋体" w:eastAsia="宋体" w:cs="宋体"/>
                <w:color w:val="auto"/>
                <w:kern w:val="0"/>
                <w:sz w:val="18"/>
                <w:szCs w:val="18"/>
                <w:lang w:val="en-US" w:eastAsia="zh-CN"/>
              </w:rPr>
              <w:t>第一款</w:t>
            </w:r>
            <w:r>
              <w:rPr>
                <w:rFonts w:hint="eastAsia" w:ascii="宋体" w:hAnsi="宋体" w:eastAsia="宋体" w:cs="宋体"/>
                <w:color w:val="auto"/>
                <w:kern w:val="0"/>
                <w:sz w:val="18"/>
                <w:szCs w:val="18"/>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1740" w:type="dxa"/>
            <w:vAlign w:val="center"/>
          </w:tcPr>
          <w:p w14:paraId="52CEC42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6485B4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223FD1B">
            <w:pPr>
              <w:pStyle w:val="9"/>
            </w:pPr>
          </w:p>
        </w:tc>
      </w:tr>
      <w:tr w14:paraId="368E7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35BC7A6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27</w:t>
            </w:r>
          </w:p>
        </w:tc>
        <w:tc>
          <w:tcPr>
            <w:tcW w:w="0" w:type="auto"/>
            <w:vAlign w:val="center"/>
          </w:tcPr>
          <w:p w14:paraId="414CF17E">
            <w:pPr>
              <w:spacing w:beforeLines="50" w:afterLines="50" w:line="200" w:lineRule="exact"/>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5"/>
                <w:szCs w:val="15"/>
              </w:rPr>
              <w:t>对建设单位迫使承包方以低于成本的价格竞标、任意压缩合理工期、明示或者暗示设计单位或者施工单位违反工程建设强制性标准，降低工程质量、施工图设计文件未经审查或者审查不合格，擅自施工、建设项目必须实行工程监理而未实行工程监理的、未按照国家规定办理工程质量监督手续、明示或者暗示施工单位使用不合格的建筑材料、建筑构配件和设备、未按照国家规定将竣工验收报告、有关认可文件或者准许使用文件报送备案的行政处罚</w:t>
            </w:r>
          </w:p>
        </w:tc>
        <w:tc>
          <w:tcPr>
            <w:tcW w:w="0" w:type="auto"/>
            <w:vAlign w:val="center"/>
          </w:tcPr>
          <w:p w14:paraId="037F3831">
            <w:pPr>
              <w:spacing w:beforeLines="50" w:afterLines="5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34BB48C7">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【行政法规】《建设工程质量管理条例》（中华人民共和国国务院令第279号）第五十六条：“违反本条例规定，建设单位有下列行为之一的，责令改正，处20万元以上50万元以下的罚款：</w:t>
            </w:r>
          </w:p>
          <w:p w14:paraId="5A5ACC13">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（一）迫使承包方以低于成本的价格竞标的；</w:t>
            </w:r>
          </w:p>
          <w:p w14:paraId="48B38800">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（二）任意压缩合理工期的；</w:t>
            </w:r>
          </w:p>
          <w:p w14:paraId="064A39B8">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（三）明示或者暗示设计单位或者施工单位违反工程建设强制性标准，降低工程质量的；</w:t>
            </w:r>
          </w:p>
          <w:p w14:paraId="142924FA">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（四）施工图设计文件未经审查或者审查不合格，擅自施工的；</w:t>
            </w:r>
          </w:p>
          <w:p w14:paraId="3C9BB738">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（五）建设项目必须实行工程监理而未实行工程监理的；</w:t>
            </w:r>
          </w:p>
          <w:p w14:paraId="00A34A7B">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（六）未按照国家规定办理工程质量监督手续的；</w:t>
            </w:r>
          </w:p>
          <w:p w14:paraId="079F5BCC">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（七）明示或者暗示施工单位使用不合格的建筑材料、建筑构配件和设备的；</w:t>
            </w:r>
          </w:p>
          <w:p w14:paraId="4E1CA648">
            <w:pPr>
              <w:widowControl/>
              <w:spacing w:line="240" w:lineRule="exact"/>
              <w:jc w:val="left"/>
              <w:rPr>
                <w:rFonts w:hint="eastAsia" w:ascii="仿宋" w:hAnsi="仿宋" w:eastAsia="仿宋" w:cs="仿宋"/>
                <w:snapToGrid w:val="0"/>
                <w:color w:val="auto"/>
                <w:kern w:val="2"/>
                <w:sz w:val="15"/>
                <w:szCs w:val="15"/>
                <w:lang w:val="en-US" w:eastAsia="zh-CN" w:bidi="ar-SA"/>
              </w:rPr>
            </w:pPr>
            <w:r>
              <w:rPr>
                <w:rFonts w:hint="eastAsia" w:ascii="宋体" w:hAnsi="宋体" w:eastAsia="宋体" w:cs="宋体"/>
                <w:color w:val="auto"/>
                <w:kern w:val="0"/>
                <w:sz w:val="15"/>
                <w:szCs w:val="15"/>
              </w:rPr>
              <w:t>（八）未按照国家规定将竣工验收报告、有关认可文件或者准许使用文件报送备案的。”</w:t>
            </w:r>
          </w:p>
        </w:tc>
        <w:tc>
          <w:tcPr>
            <w:tcW w:w="1740" w:type="dxa"/>
            <w:vAlign w:val="center"/>
          </w:tcPr>
          <w:p w14:paraId="36E7F9E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8AAB6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980C0B0">
            <w:pPr>
              <w:pStyle w:val="9"/>
            </w:pPr>
          </w:p>
        </w:tc>
      </w:tr>
      <w:tr w14:paraId="16AC0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3CED1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28</w:t>
            </w:r>
          </w:p>
        </w:tc>
        <w:tc>
          <w:tcPr>
            <w:tcW w:w="0" w:type="auto"/>
            <w:vAlign w:val="center"/>
          </w:tcPr>
          <w:p w14:paraId="774B6006">
            <w:pPr>
              <w:spacing w:beforeLines="50" w:afterLines="50"/>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8"/>
                <w:szCs w:val="18"/>
              </w:rPr>
              <w:t>对施工单位未对建筑材料、建筑构配件、设备和商品混凝土进行检验，或者未对涉及结构安全的试块、试件以及有关材料取样检测的行政处罚</w:t>
            </w:r>
          </w:p>
        </w:tc>
        <w:tc>
          <w:tcPr>
            <w:tcW w:w="0" w:type="auto"/>
            <w:vAlign w:val="center"/>
          </w:tcPr>
          <w:p w14:paraId="797136BE">
            <w:pPr>
              <w:spacing w:beforeLines="50" w:afterLines="5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3A2C97BD">
            <w:pPr>
              <w:widowControl/>
              <w:spacing w:line="240" w:lineRule="exact"/>
              <w:jc w:val="left"/>
              <w:rPr>
                <w:rFonts w:hint="eastAsia" w:ascii="仿宋" w:hAnsi="仿宋" w:eastAsia="仿宋" w:cs="仿宋"/>
                <w:snapToGrid w:val="0"/>
                <w:color w:val="auto"/>
                <w:kern w:val="2"/>
                <w:sz w:val="15"/>
                <w:szCs w:val="15"/>
                <w:lang w:val="en-US" w:eastAsia="zh-CN" w:bidi="ar-SA"/>
              </w:rPr>
            </w:pPr>
            <w:r>
              <w:rPr>
                <w:rFonts w:hint="eastAsia" w:ascii="宋体" w:hAnsi="宋体" w:eastAsia="宋体" w:cs="宋体"/>
                <w:color w:val="auto"/>
                <w:kern w:val="0"/>
                <w:sz w:val="15"/>
                <w:szCs w:val="15"/>
              </w:rPr>
              <w:t>【行政法规】《建设工程质量管理条例》（中华人民共和国国务院令第279号）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740" w:type="dxa"/>
            <w:vAlign w:val="center"/>
          </w:tcPr>
          <w:p w14:paraId="3EC7F24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6C6F9E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38FB1B1">
            <w:pPr>
              <w:pStyle w:val="9"/>
            </w:pPr>
          </w:p>
        </w:tc>
      </w:tr>
      <w:tr w14:paraId="7EF42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6499A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29</w:t>
            </w:r>
          </w:p>
        </w:tc>
        <w:tc>
          <w:tcPr>
            <w:tcW w:w="0" w:type="auto"/>
            <w:vAlign w:val="center"/>
          </w:tcPr>
          <w:p w14:paraId="28C60CBB">
            <w:pPr>
              <w:spacing w:beforeLines="50" w:afterLines="50"/>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sz w:val="18"/>
                <w:szCs w:val="18"/>
              </w:rPr>
              <w:t>对勘察单位未按照工程建设强制性标准进行勘察；设计单位未根据勘察成果文件进行工程设计；指定建筑材料、建筑构配件的生产厂、供应商；未按照工程建设强制性标准进行设计的行政处罚</w:t>
            </w:r>
          </w:p>
        </w:tc>
        <w:tc>
          <w:tcPr>
            <w:tcW w:w="0" w:type="auto"/>
            <w:vAlign w:val="center"/>
          </w:tcPr>
          <w:p w14:paraId="6285B5E6">
            <w:pPr>
              <w:spacing w:beforeLines="50" w:afterLines="5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6D197225">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【行政法规】《建设工程质量管理条例》（中华人民共和国国务院令第279号）第六十三条：“违反本条例规定，有下列行为之一的，责令改正，处10万元以上30万元以下的罚款：</w:t>
            </w:r>
          </w:p>
          <w:p w14:paraId="02598DA0">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（一）勘察单位未按照工程建设强制性标准进行勘察的；</w:t>
            </w:r>
          </w:p>
          <w:p w14:paraId="1DD618A6">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（二）设计单位未根据勘察成果文件进行工程设计的；</w:t>
            </w:r>
          </w:p>
          <w:p w14:paraId="58E61B8E">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（三）设计单位指定建筑材料、建筑构配件的生产厂、供应商的；</w:t>
            </w:r>
          </w:p>
          <w:p w14:paraId="67C2476B">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（四）设计单位未按照工程建设强制性标准进行设计的。</w:t>
            </w:r>
          </w:p>
          <w:p w14:paraId="01B92DD9">
            <w:pPr>
              <w:widowControl/>
              <w:spacing w:line="240" w:lineRule="exact"/>
              <w:jc w:val="left"/>
              <w:rPr>
                <w:rFonts w:hint="eastAsia" w:ascii="仿宋" w:hAnsi="仿宋" w:eastAsia="仿宋" w:cs="仿宋"/>
                <w:snapToGrid w:val="0"/>
                <w:color w:val="auto"/>
                <w:kern w:val="2"/>
                <w:sz w:val="18"/>
                <w:szCs w:val="18"/>
                <w:lang w:val="en-US" w:eastAsia="zh-CN" w:bidi="ar-SA"/>
              </w:rPr>
            </w:pPr>
            <w:r>
              <w:rPr>
                <w:rFonts w:hint="eastAsia" w:ascii="宋体" w:hAnsi="宋体" w:eastAsia="宋体" w:cs="宋体"/>
                <w:color w:val="auto"/>
                <w:kern w:val="0"/>
                <w:sz w:val="15"/>
                <w:szCs w:val="15"/>
              </w:rPr>
              <w:t>有前款所列行为，造成工程质量事故的，责令停业整顿，降低资质等级；情节严重的，吊销资质证书；造成损失的，依法承担赔偿责任。”</w:t>
            </w:r>
          </w:p>
        </w:tc>
        <w:tc>
          <w:tcPr>
            <w:tcW w:w="1740" w:type="dxa"/>
            <w:vAlign w:val="center"/>
          </w:tcPr>
          <w:p w14:paraId="2DAE7D6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899883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8E83B49">
            <w:pPr>
              <w:pStyle w:val="9"/>
            </w:pPr>
          </w:p>
        </w:tc>
      </w:tr>
      <w:tr w14:paraId="5396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ACB58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30</w:t>
            </w:r>
          </w:p>
        </w:tc>
        <w:tc>
          <w:tcPr>
            <w:tcW w:w="0" w:type="auto"/>
            <w:vAlign w:val="center"/>
          </w:tcPr>
          <w:p w14:paraId="572028E2">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对建设单位将建设工程肢解发包的行政处罚</w:t>
            </w:r>
          </w:p>
        </w:tc>
        <w:tc>
          <w:tcPr>
            <w:tcW w:w="0" w:type="auto"/>
            <w:vAlign w:val="center"/>
          </w:tcPr>
          <w:p w14:paraId="79732668">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4428B2D8">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行政法规】《建设工程质量管理条例》（中华人民共和国国务院令第279号）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1740" w:type="dxa"/>
            <w:vAlign w:val="center"/>
          </w:tcPr>
          <w:p w14:paraId="42CF80C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514E44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BAFE9E3">
            <w:pPr>
              <w:pStyle w:val="9"/>
            </w:pPr>
          </w:p>
        </w:tc>
      </w:tr>
      <w:tr w14:paraId="136DC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0E6385D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31</w:t>
            </w:r>
          </w:p>
        </w:tc>
        <w:tc>
          <w:tcPr>
            <w:tcW w:w="0" w:type="auto"/>
            <w:vAlign w:val="center"/>
          </w:tcPr>
          <w:p w14:paraId="178554BB">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对单位工程质量违法行为直接负责的主管人员和其他直接责任人员的行政处罚</w:t>
            </w:r>
          </w:p>
        </w:tc>
        <w:tc>
          <w:tcPr>
            <w:tcW w:w="0" w:type="auto"/>
            <w:vAlign w:val="center"/>
          </w:tcPr>
          <w:p w14:paraId="1E423A15">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7C580127">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行政法规】《建设工程质量管理条例》（中华人民共和国国务院令第279号）第七十三条：依照本条例规定，给予单位罚款处罚的，对单位直接负责的主管人员和其他直接责任人员处单位罚款数额百分之五以上百分之十以下的罚款</w:t>
            </w:r>
          </w:p>
        </w:tc>
        <w:tc>
          <w:tcPr>
            <w:tcW w:w="1740" w:type="dxa"/>
            <w:vAlign w:val="center"/>
          </w:tcPr>
          <w:p w14:paraId="135CE0B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0EEEE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6CDB952A">
            <w:pPr>
              <w:pStyle w:val="9"/>
            </w:pPr>
          </w:p>
        </w:tc>
      </w:tr>
      <w:tr w14:paraId="283E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3BD087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vAlign w:val="center"/>
          </w:tcPr>
          <w:p w14:paraId="704062BD">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对施工单位在施工中偷工减料的，使用不合格的建筑材料、建筑构配件和设备的，或者有不按照工程设计图纸或者施工技术标准施工的其他行为的行政处罚</w:t>
            </w:r>
          </w:p>
        </w:tc>
        <w:tc>
          <w:tcPr>
            <w:tcW w:w="0" w:type="auto"/>
            <w:vAlign w:val="center"/>
          </w:tcPr>
          <w:p w14:paraId="6123A2E6">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17A2C9F">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行政法规】《建设工程质量管理条例》（中华人民共和国国务院令第279号）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740" w:type="dxa"/>
            <w:vAlign w:val="center"/>
          </w:tcPr>
          <w:p w14:paraId="6F63D72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E524D7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C556D04">
            <w:pPr>
              <w:pStyle w:val="9"/>
            </w:pPr>
          </w:p>
        </w:tc>
      </w:tr>
      <w:tr w14:paraId="5ABCB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3E7E03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33</w:t>
            </w:r>
          </w:p>
        </w:tc>
        <w:tc>
          <w:tcPr>
            <w:tcW w:w="0" w:type="auto"/>
            <w:vAlign w:val="center"/>
          </w:tcPr>
          <w:p w14:paraId="3F2842F5">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对勘察、设计、施工、工程监理单位超越本单位资质等级承揽工程的行政处罚</w:t>
            </w:r>
          </w:p>
        </w:tc>
        <w:tc>
          <w:tcPr>
            <w:tcW w:w="0" w:type="auto"/>
            <w:vAlign w:val="center"/>
          </w:tcPr>
          <w:p w14:paraId="6F8D11BA">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7E41C1C0">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行政法规】《建设工程质量管理条例》（中华人民共和国国务院令第279号）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5C9C70A8">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未取得资质证书承揽工程的，予以取缔，依照前款规定处以罚款；有违法所得的，予以没收。</w:t>
            </w:r>
          </w:p>
          <w:p w14:paraId="7E4D1BB6">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以欺骗手段取得资质证书承揽工程的，吊销资质证书，依照本条第一款规定处以罚款；有违法所得的，予以没收。</w:t>
            </w:r>
          </w:p>
        </w:tc>
        <w:tc>
          <w:tcPr>
            <w:tcW w:w="1740" w:type="dxa"/>
            <w:vAlign w:val="center"/>
          </w:tcPr>
          <w:p w14:paraId="3297414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E5F89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5D853CA3">
            <w:pPr>
              <w:pStyle w:val="9"/>
            </w:pPr>
          </w:p>
        </w:tc>
      </w:tr>
      <w:tr w14:paraId="64827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28879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34</w:t>
            </w:r>
          </w:p>
        </w:tc>
        <w:tc>
          <w:tcPr>
            <w:tcW w:w="0" w:type="auto"/>
            <w:vAlign w:val="center"/>
          </w:tcPr>
          <w:p w14:paraId="4BD9BBF4">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对建设单位将建设工程发包给不具有相应资质等级的勘察、设计、施工单位或者委托给不具有相应资质等级的工程监理单位的行政处罚</w:t>
            </w:r>
          </w:p>
        </w:tc>
        <w:tc>
          <w:tcPr>
            <w:tcW w:w="0" w:type="auto"/>
            <w:vAlign w:val="center"/>
          </w:tcPr>
          <w:p w14:paraId="301B5D1E">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D54E6D3">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行政法规】《建设工程质量管理条例》（中华人民共和国国务院令第279号）第五十四条：“违反本条例规定，建设单位将建设工程发包给不具有相应资质等级的勘察、设计、施工单位或者委托给不具有相应资质等级的工程监理单位的，责令改正，处50万元以上100万元以下的罚款。”</w:t>
            </w:r>
          </w:p>
        </w:tc>
        <w:tc>
          <w:tcPr>
            <w:tcW w:w="1740" w:type="dxa"/>
            <w:vAlign w:val="center"/>
          </w:tcPr>
          <w:p w14:paraId="3CC7EEC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451CCDA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C6370B2">
            <w:pPr>
              <w:pStyle w:val="9"/>
            </w:pPr>
          </w:p>
        </w:tc>
      </w:tr>
      <w:tr w14:paraId="496D3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09D3F0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35</w:t>
            </w:r>
          </w:p>
        </w:tc>
        <w:tc>
          <w:tcPr>
            <w:tcW w:w="0" w:type="auto"/>
            <w:vAlign w:val="center"/>
          </w:tcPr>
          <w:p w14:paraId="27C029EB">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对勘察、设计、施工、工程监理单位允许其他单位或者个人以本单位名义承揽工程的行政处罚</w:t>
            </w:r>
          </w:p>
        </w:tc>
        <w:tc>
          <w:tcPr>
            <w:tcW w:w="0" w:type="auto"/>
            <w:vAlign w:val="center"/>
          </w:tcPr>
          <w:p w14:paraId="7236252D">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4A99FA1">
            <w:pPr>
              <w:widowControl/>
              <w:spacing w:line="240" w:lineRule="exact"/>
              <w:jc w:val="left"/>
              <w:rPr>
                <w:rFonts w:ascii="宋体" w:hAnsi="宋体" w:eastAsia="宋体" w:cs="宋体"/>
                <w:snapToGrid w:val="0"/>
                <w:color w:val="auto"/>
                <w:kern w:val="0"/>
                <w:sz w:val="18"/>
                <w:szCs w:val="18"/>
                <w:lang w:val="en-US" w:eastAsia="en-US" w:bidi="ar-SA"/>
              </w:rPr>
            </w:pPr>
            <w:r>
              <w:rPr>
                <w:rFonts w:hint="eastAsia" w:ascii="宋体" w:hAnsi="宋体" w:eastAsia="宋体" w:cs="宋体"/>
                <w:color w:val="auto"/>
                <w:kern w:val="0"/>
                <w:sz w:val="15"/>
                <w:szCs w:val="15"/>
              </w:rPr>
              <w:t>【行政法规】《建设工程质量管理条例》（中华人民共和国国务院令第279号）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1740" w:type="dxa"/>
            <w:vAlign w:val="center"/>
          </w:tcPr>
          <w:p w14:paraId="30DCCE3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0CEEA78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549CC3C">
            <w:pPr>
              <w:pStyle w:val="9"/>
            </w:pPr>
          </w:p>
        </w:tc>
      </w:tr>
      <w:tr w14:paraId="27D0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36CB3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36</w:t>
            </w:r>
          </w:p>
        </w:tc>
        <w:tc>
          <w:tcPr>
            <w:tcW w:w="0" w:type="auto"/>
            <w:vAlign w:val="center"/>
          </w:tcPr>
          <w:p w14:paraId="2F1AD986">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对施工单位不履行保修义务或者拖延履行保修义务的行政处罚</w:t>
            </w:r>
          </w:p>
        </w:tc>
        <w:tc>
          <w:tcPr>
            <w:tcW w:w="0" w:type="auto"/>
            <w:vAlign w:val="center"/>
          </w:tcPr>
          <w:p w14:paraId="037B72F0">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46FEC34F">
            <w:pPr>
              <w:widowControl/>
              <w:spacing w:line="24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5"/>
                <w:szCs w:val="15"/>
              </w:rPr>
              <w:t>【行政法规】《建设工程质量管理条例》（中华人民共和国国务院令第279号）第六十六条：“违反本条例规定，施工单位不履行保修义务或者拖延履行保修义务的，责令改正，处10万元以上20万元以下的罚款，并对在保修期内因质量缺陷造成的损失承担赔偿责任。”</w:t>
            </w:r>
          </w:p>
        </w:tc>
        <w:tc>
          <w:tcPr>
            <w:tcW w:w="1740" w:type="dxa"/>
            <w:vAlign w:val="center"/>
          </w:tcPr>
          <w:p w14:paraId="0208322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9640A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9697ED9">
            <w:pPr>
              <w:pStyle w:val="9"/>
            </w:pPr>
          </w:p>
        </w:tc>
      </w:tr>
      <w:tr w14:paraId="3775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F0CF89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37</w:t>
            </w:r>
          </w:p>
        </w:tc>
        <w:tc>
          <w:tcPr>
            <w:tcW w:w="0" w:type="auto"/>
            <w:vAlign w:val="center"/>
          </w:tcPr>
          <w:p w14:paraId="0E6954CC">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对承包单位将承包的工程转包或者违法分包的行政处罚</w:t>
            </w:r>
          </w:p>
        </w:tc>
        <w:tc>
          <w:tcPr>
            <w:tcW w:w="0" w:type="auto"/>
            <w:vAlign w:val="center"/>
          </w:tcPr>
          <w:p w14:paraId="5DD32CD6">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35A30F6A">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行政法规】《建设工程质量管理条例》（中华人民共和国国务院令第279号）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5D54DF41">
            <w:pPr>
              <w:widowControl/>
              <w:spacing w:line="24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5"/>
                <w:szCs w:val="15"/>
              </w:rPr>
              <w:t>工程监理单位转让工程监理业务的，责令改正，没收违法所得，处合同约定的监理酬金百分之二十五以上百分之五十以下的罚款；可以责令停业整顿，降低资质等级；情节严重的，吊销资质证书。”</w:t>
            </w:r>
          </w:p>
        </w:tc>
        <w:tc>
          <w:tcPr>
            <w:tcW w:w="1740" w:type="dxa"/>
            <w:vAlign w:val="center"/>
          </w:tcPr>
          <w:p w14:paraId="071A31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4E783C4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0EF1E67">
            <w:pPr>
              <w:pStyle w:val="9"/>
            </w:pPr>
          </w:p>
        </w:tc>
      </w:tr>
      <w:tr w14:paraId="2B67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25C9079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38</w:t>
            </w:r>
          </w:p>
        </w:tc>
        <w:tc>
          <w:tcPr>
            <w:tcW w:w="0" w:type="auto"/>
            <w:vAlign w:val="center"/>
          </w:tcPr>
          <w:p w14:paraId="6382F5C1">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对监理单位与被监理工程的施工承包单位以及建筑材料、建筑构配件和设备供应单位有隶属关系或者其他利害关系承担该项建设工程的监理业务的行政处罚</w:t>
            </w:r>
          </w:p>
        </w:tc>
        <w:tc>
          <w:tcPr>
            <w:tcW w:w="0" w:type="auto"/>
            <w:vAlign w:val="center"/>
          </w:tcPr>
          <w:p w14:paraId="437AFF44">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74DF50FF">
            <w:pPr>
              <w:widowControl/>
              <w:spacing w:line="24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5"/>
                <w:szCs w:val="15"/>
              </w:rPr>
              <w:t>【行政法规】《建设工程质量管理条例》（中华人民共和国国务院令第279号）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740" w:type="dxa"/>
            <w:vAlign w:val="center"/>
          </w:tcPr>
          <w:p w14:paraId="2DBA73A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10BBD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D3C4557">
            <w:pPr>
              <w:pStyle w:val="9"/>
            </w:pPr>
          </w:p>
        </w:tc>
      </w:tr>
      <w:tr w14:paraId="1F2F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2AD2D8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39</w:t>
            </w:r>
          </w:p>
        </w:tc>
        <w:tc>
          <w:tcPr>
            <w:tcW w:w="0" w:type="auto"/>
            <w:vAlign w:val="center"/>
          </w:tcPr>
          <w:p w14:paraId="3553A3D7">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对建设单位未组织竣工验收，擅自交付使用、验收不合格，擅自交付使用、对不合格的建设工程按照合格工程验收的行政处罚</w:t>
            </w:r>
          </w:p>
        </w:tc>
        <w:tc>
          <w:tcPr>
            <w:tcW w:w="0" w:type="auto"/>
            <w:vAlign w:val="center"/>
          </w:tcPr>
          <w:p w14:paraId="115C0D03">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DD9D3D5">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行政法规】《建设工程质量管理条例》（中华人民共和国国务院令第279号）第五十八条：“违反本条例规定，建设单位有下列行为之一的，责令改正，处工程合同价款百分之二以上百分之四以下的罚款；造成损失的，依法承担赔偿责任；</w:t>
            </w:r>
          </w:p>
          <w:p w14:paraId="4C2525AC">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（一）未组织竣工验收，擅自交付使用的；</w:t>
            </w:r>
          </w:p>
          <w:p w14:paraId="7F7C9882">
            <w:pPr>
              <w:widowControl/>
              <w:spacing w:line="240" w:lineRule="exact"/>
              <w:jc w:val="left"/>
              <w:rPr>
                <w:rFonts w:ascii="宋体" w:hAnsi="宋体" w:eastAsia="宋体" w:cs="宋体"/>
                <w:color w:val="auto"/>
                <w:kern w:val="0"/>
                <w:sz w:val="15"/>
                <w:szCs w:val="15"/>
              </w:rPr>
            </w:pPr>
            <w:r>
              <w:rPr>
                <w:rFonts w:hint="eastAsia" w:ascii="宋体" w:hAnsi="宋体" w:eastAsia="宋体" w:cs="宋体"/>
                <w:color w:val="auto"/>
                <w:kern w:val="0"/>
                <w:sz w:val="15"/>
                <w:szCs w:val="15"/>
              </w:rPr>
              <w:t>（二）验收不合格，擅自交付使用的；</w:t>
            </w:r>
          </w:p>
          <w:p w14:paraId="17C74D52">
            <w:pPr>
              <w:widowControl/>
              <w:spacing w:line="24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5"/>
                <w:szCs w:val="15"/>
              </w:rPr>
              <w:t>（三）对不合格的建设工程按照合格工程验收的。”</w:t>
            </w:r>
          </w:p>
        </w:tc>
        <w:tc>
          <w:tcPr>
            <w:tcW w:w="1740" w:type="dxa"/>
            <w:vAlign w:val="center"/>
          </w:tcPr>
          <w:p w14:paraId="4F83560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14C66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8367B57">
            <w:pPr>
              <w:pStyle w:val="9"/>
            </w:pPr>
          </w:p>
        </w:tc>
      </w:tr>
      <w:tr w14:paraId="7EDB0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54427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40</w:t>
            </w:r>
          </w:p>
        </w:tc>
        <w:tc>
          <w:tcPr>
            <w:tcW w:w="0" w:type="auto"/>
            <w:vAlign w:val="center"/>
          </w:tcPr>
          <w:p w14:paraId="32EDC9D6">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FF0000"/>
                <w:sz w:val="18"/>
                <w:szCs w:val="18"/>
              </w:rPr>
              <w:t>对能源企业（煤矿除外）未按照规定设置安全生产管理机构或者配备安全生产管理人员、注册安全工程师的行政处罚</w:t>
            </w:r>
          </w:p>
        </w:tc>
        <w:tc>
          <w:tcPr>
            <w:tcW w:w="0" w:type="auto"/>
            <w:vAlign w:val="center"/>
          </w:tcPr>
          <w:p w14:paraId="6C8B7C46">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53126E27">
            <w:pPr>
              <w:widowControl/>
              <w:spacing w:line="240" w:lineRule="exact"/>
              <w:jc w:val="left"/>
              <w:rPr>
                <w:rFonts w:ascii="宋体" w:hAnsi="宋体" w:eastAsia="宋体" w:cs="宋体"/>
                <w:snapToGrid w:val="0"/>
                <w:color w:val="auto"/>
                <w:kern w:val="0"/>
                <w:sz w:val="15"/>
                <w:szCs w:val="15"/>
                <w:lang w:val="en-US" w:eastAsia="en-US" w:bidi="ar-SA"/>
              </w:rPr>
            </w:pPr>
            <w:r>
              <w:rPr>
                <w:rFonts w:hint="eastAsia" w:ascii="宋体" w:hAnsi="宋体" w:eastAsia="宋体" w:cs="宋体"/>
                <w:color w:val="FF0000"/>
                <w:kern w:val="0"/>
                <w:sz w:val="15"/>
                <w:szCs w:val="15"/>
              </w:rPr>
              <w:t>【地方性法规】《山西省安全生产条例》</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2022年12月9日山西省第十三届人民代表大会常务委员会第三十八次会议第二次修订</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第七十一条 违反本条例规定，生产经营单位未按照规定设置安全生产管理机构或者配备安全生产管理人员、注册安全工程师的，由负有安全生产监督管理职责的部门责令限期改正，处一万元以上十万元以下的罚款；逾期未改正的，责令停产停业整顿，并处十万元以上二十万元以下的罚款，对其直接负责的主管人员和其他直接责任人员处二万元以上五万元以下的罚款。</w:t>
            </w:r>
          </w:p>
        </w:tc>
        <w:tc>
          <w:tcPr>
            <w:tcW w:w="1740" w:type="dxa"/>
            <w:vAlign w:val="center"/>
          </w:tcPr>
          <w:p w14:paraId="0E092AC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36145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62DE5AD6">
            <w:pPr>
              <w:pStyle w:val="9"/>
            </w:pPr>
          </w:p>
        </w:tc>
      </w:tr>
      <w:tr w14:paraId="19E26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0F3D834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41</w:t>
            </w:r>
          </w:p>
        </w:tc>
        <w:tc>
          <w:tcPr>
            <w:tcW w:w="0" w:type="auto"/>
            <w:vAlign w:val="center"/>
          </w:tcPr>
          <w:p w14:paraId="425D5321">
            <w:pPr>
              <w:spacing w:beforeLines="50" w:afterLines="50"/>
              <w:rPr>
                <w:rFonts w:ascii="仿宋_GB2312" w:hAnsi="仿宋_GB2312" w:eastAsia="仿宋_GB2312" w:cs="仿宋_GB2312"/>
                <w:snapToGrid w:val="0"/>
                <w:color w:val="FF0000"/>
                <w:kern w:val="0"/>
                <w:sz w:val="18"/>
                <w:szCs w:val="18"/>
                <w:lang w:val="en-US" w:eastAsia="en-US" w:bidi="ar-SA"/>
              </w:rPr>
            </w:pPr>
            <w:r>
              <w:rPr>
                <w:rFonts w:hint="eastAsia" w:ascii="仿宋_GB2312" w:hAnsi="仿宋_GB2312" w:eastAsia="仿宋_GB2312" w:cs="仿宋_GB2312"/>
                <w:color w:val="FF0000"/>
                <w:sz w:val="18"/>
                <w:szCs w:val="18"/>
              </w:rPr>
              <w:t>对能源企业（煤矿除外）未建立事故隐患排查治理制度，或者重大事故隐患排查治理情况未按照规定报告的行政处罚</w:t>
            </w:r>
          </w:p>
        </w:tc>
        <w:tc>
          <w:tcPr>
            <w:tcW w:w="0" w:type="auto"/>
            <w:vAlign w:val="center"/>
          </w:tcPr>
          <w:p w14:paraId="15B931FB">
            <w:pPr>
              <w:spacing w:beforeLines="50" w:afterLines="50"/>
              <w:jc w:val="center"/>
              <w:rPr>
                <w:rFonts w:ascii="仿宋_GB2312" w:hAnsi="仿宋_GB2312" w:eastAsia="仿宋_GB2312" w:cs="仿宋_GB2312"/>
                <w:snapToGrid w:val="0"/>
                <w:color w:val="FF0000"/>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619C55A9">
            <w:pPr>
              <w:widowControl/>
              <w:spacing w:line="240" w:lineRule="exact"/>
              <w:jc w:val="left"/>
              <w:rPr>
                <w:rFonts w:hint="eastAsia" w:ascii="宋体" w:hAnsi="宋体" w:eastAsia="宋体" w:cs="宋体"/>
                <w:color w:val="FF0000"/>
                <w:kern w:val="0"/>
                <w:sz w:val="15"/>
                <w:szCs w:val="15"/>
              </w:rPr>
            </w:pPr>
            <w:r>
              <w:rPr>
                <w:rFonts w:hint="eastAsia" w:ascii="宋体" w:hAnsi="宋体" w:eastAsia="宋体" w:cs="宋体"/>
                <w:color w:val="FF0000"/>
                <w:kern w:val="0"/>
                <w:sz w:val="15"/>
                <w:szCs w:val="15"/>
              </w:rPr>
              <w:t>【地方性法规】《山西省安全生产条例》</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2022年12月9日山西省第十三届人民代表大会常务委员会第三十八次会议第二次修订</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第七十二条 生产经营单位有下列行为之一的，由负有安全生产监督管理职责的部门责令限期改正，处一万元以上十万元以下的罚款；逾期未改正的，责令停产停业整顿，并处十万元以上二十万元以下的罚款，对其直接负责的主管人员和其他直接责任人员处二万元以上五万元以下的罚款；构成犯罪的，依法追究刑事责任。</w:t>
            </w:r>
          </w:p>
          <w:p w14:paraId="0ADDF97A">
            <w:pPr>
              <w:widowControl/>
              <w:spacing w:line="240" w:lineRule="exact"/>
              <w:jc w:val="left"/>
              <w:rPr>
                <w:rFonts w:hint="eastAsia" w:ascii="宋体" w:hAnsi="宋体" w:eastAsia="宋体" w:cs="宋体"/>
                <w:color w:val="FF0000"/>
                <w:kern w:val="0"/>
                <w:sz w:val="15"/>
                <w:szCs w:val="15"/>
              </w:rPr>
            </w:pPr>
            <w:r>
              <w:rPr>
                <w:rFonts w:hint="eastAsia" w:ascii="宋体" w:hAnsi="宋体" w:eastAsia="宋体" w:cs="宋体"/>
                <w:color w:val="FF0000"/>
                <w:kern w:val="0"/>
                <w:sz w:val="15"/>
                <w:szCs w:val="15"/>
              </w:rPr>
              <w:t>　　（一）未建立事故隐患排查治理制度，或者重大事故隐患排查治理情况未按照规定报告的；</w:t>
            </w:r>
          </w:p>
          <w:p w14:paraId="63D24BCB">
            <w:pPr>
              <w:widowControl/>
              <w:spacing w:line="240" w:lineRule="exact"/>
              <w:jc w:val="left"/>
              <w:rPr>
                <w:rFonts w:hint="eastAsia" w:ascii="宋体" w:hAnsi="宋体" w:eastAsia="宋体" w:cs="宋体"/>
                <w:color w:val="FF0000"/>
                <w:kern w:val="0"/>
                <w:sz w:val="15"/>
                <w:szCs w:val="15"/>
              </w:rPr>
            </w:pPr>
            <w:r>
              <w:rPr>
                <w:rFonts w:hint="eastAsia" w:ascii="宋体" w:hAnsi="宋体" w:eastAsia="宋体" w:cs="宋体"/>
                <w:color w:val="FF0000"/>
                <w:kern w:val="0"/>
                <w:sz w:val="15"/>
                <w:szCs w:val="15"/>
              </w:rPr>
              <w:t>　　</w:t>
            </w:r>
          </w:p>
          <w:p w14:paraId="29878465">
            <w:pPr>
              <w:widowControl/>
              <w:spacing w:line="240" w:lineRule="exact"/>
              <w:jc w:val="left"/>
              <w:rPr>
                <w:rFonts w:ascii="宋体" w:hAnsi="宋体" w:eastAsia="宋体" w:cs="宋体"/>
                <w:snapToGrid w:val="0"/>
                <w:color w:val="FF0000"/>
                <w:kern w:val="0"/>
                <w:sz w:val="15"/>
                <w:szCs w:val="15"/>
                <w:lang w:val="en-US" w:eastAsia="en-US" w:bidi="ar-SA"/>
              </w:rPr>
            </w:pPr>
          </w:p>
        </w:tc>
        <w:tc>
          <w:tcPr>
            <w:tcW w:w="1740" w:type="dxa"/>
            <w:vAlign w:val="center"/>
          </w:tcPr>
          <w:p w14:paraId="56DC851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70D9A20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79E21362">
            <w:pPr>
              <w:pStyle w:val="9"/>
            </w:pPr>
          </w:p>
        </w:tc>
      </w:tr>
      <w:tr w14:paraId="55C9A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42CF7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42</w:t>
            </w:r>
          </w:p>
        </w:tc>
        <w:tc>
          <w:tcPr>
            <w:tcW w:w="0" w:type="auto"/>
            <w:vAlign w:val="center"/>
          </w:tcPr>
          <w:p w14:paraId="38D3F076">
            <w:pPr>
              <w:spacing w:beforeLines="50" w:afterLines="50"/>
              <w:rPr>
                <w:rFonts w:hint="eastAsia" w:ascii="仿宋_GB2312" w:hAnsi="仿宋_GB2312" w:eastAsia="仿宋_GB2312" w:cs="仿宋_GB2312"/>
                <w:snapToGrid w:val="0"/>
                <w:color w:val="FF0000"/>
                <w:kern w:val="2"/>
                <w:sz w:val="18"/>
                <w:szCs w:val="18"/>
                <w:lang w:val="en-US" w:eastAsia="zh-CN" w:bidi="ar-SA"/>
              </w:rPr>
            </w:pPr>
            <w:r>
              <w:rPr>
                <w:rFonts w:hint="eastAsia" w:ascii="仿宋_GB2312" w:hAnsi="仿宋_GB2312" w:eastAsia="仿宋_GB2312" w:cs="仿宋_GB2312"/>
                <w:color w:val="FF0000"/>
                <w:sz w:val="18"/>
                <w:szCs w:val="18"/>
              </w:rPr>
              <w:t>对能源企业（煤矿除外）从事国家和行业部门认定的危险作业，违反本条例规定的行政处罚</w:t>
            </w:r>
          </w:p>
        </w:tc>
        <w:tc>
          <w:tcPr>
            <w:tcW w:w="0" w:type="auto"/>
            <w:vAlign w:val="center"/>
          </w:tcPr>
          <w:p w14:paraId="022EB9F2">
            <w:pPr>
              <w:spacing w:beforeLines="50" w:afterLines="50"/>
              <w:jc w:val="center"/>
              <w:rPr>
                <w:rFonts w:hint="eastAsia" w:ascii="仿宋_GB2312" w:hAnsi="仿宋_GB2312" w:eastAsia="仿宋_GB2312" w:cs="仿宋_GB2312"/>
                <w:snapToGrid w:val="0"/>
                <w:color w:val="FF0000"/>
                <w:kern w:val="2"/>
                <w:sz w:val="24"/>
                <w:szCs w:val="24"/>
                <w:lang w:val="en-US" w:eastAsia="zh-CN" w:bidi="ar-SA"/>
              </w:rPr>
            </w:pPr>
            <w:r>
              <w:rPr>
                <w:rFonts w:hint="eastAsia" w:ascii="仿宋_GB2312" w:hAnsi="仿宋_GB2312" w:eastAsia="仿宋_GB2312" w:cs="仿宋_GB2312"/>
                <w:color w:val="auto"/>
                <w:sz w:val="24"/>
              </w:rPr>
              <w:t>行政处罚</w:t>
            </w:r>
          </w:p>
        </w:tc>
        <w:tc>
          <w:tcPr>
            <w:tcW w:w="4256" w:type="dxa"/>
            <w:vAlign w:val="center"/>
          </w:tcPr>
          <w:p w14:paraId="6F4FF57E">
            <w:pPr>
              <w:widowControl/>
              <w:spacing w:line="240" w:lineRule="exact"/>
              <w:jc w:val="left"/>
              <w:rPr>
                <w:rFonts w:hint="eastAsia" w:ascii="宋体" w:hAnsi="宋体" w:eastAsia="宋体" w:cs="宋体"/>
                <w:color w:val="FF0000"/>
                <w:kern w:val="0"/>
                <w:sz w:val="15"/>
                <w:szCs w:val="15"/>
              </w:rPr>
            </w:pPr>
            <w:r>
              <w:rPr>
                <w:rFonts w:hint="eastAsia" w:ascii="宋体" w:hAnsi="宋体" w:eastAsia="宋体" w:cs="宋体"/>
                <w:color w:val="FF0000"/>
                <w:kern w:val="0"/>
                <w:sz w:val="15"/>
                <w:szCs w:val="15"/>
              </w:rPr>
              <w:t>【地方性法规】《山西省安全生产条例》</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2022年12月9日山西省第十三届人民代表大会常务委员会第三十八次会议第二次修订</w:t>
            </w:r>
            <w:r>
              <w:rPr>
                <w:rFonts w:hint="eastAsia" w:ascii="宋体" w:hAnsi="宋体" w:eastAsia="宋体" w:cs="宋体"/>
                <w:color w:val="FF0000"/>
                <w:kern w:val="0"/>
                <w:sz w:val="15"/>
                <w:szCs w:val="15"/>
                <w:lang w:eastAsia="zh-CN"/>
              </w:rPr>
              <w:t>）</w:t>
            </w:r>
            <w:r>
              <w:rPr>
                <w:rFonts w:hint="eastAsia" w:ascii="宋体" w:hAnsi="宋体" w:eastAsia="宋体" w:cs="宋体"/>
                <w:color w:val="FF0000"/>
                <w:kern w:val="0"/>
                <w:sz w:val="15"/>
                <w:szCs w:val="15"/>
              </w:rPr>
              <w:t>第七十二条 生产经营单位有下列行为之一的，由负有安全生产监督管理职责的部门责令限期改正，处一万元以上十万元以下的罚款；逾期未改正的，责令停产停业整顿，并处十万元以上二十万元以下的罚款，对其直接负责的主管人员和其他直接责任人员处二万元以上五万元以下的罚款；构成犯罪的，依法追究刑事责任。</w:t>
            </w:r>
          </w:p>
          <w:p w14:paraId="0C339694">
            <w:pPr>
              <w:widowControl/>
              <w:spacing w:line="240" w:lineRule="exact"/>
              <w:jc w:val="left"/>
              <w:rPr>
                <w:rFonts w:hint="eastAsia" w:ascii="宋体" w:hAnsi="宋体" w:eastAsia="宋体" w:cs="宋体"/>
                <w:color w:val="FF0000"/>
                <w:kern w:val="0"/>
                <w:sz w:val="15"/>
                <w:szCs w:val="15"/>
              </w:rPr>
            </w:pPr>
            <w:r>
              <w:rPr>
                <w:rFonts w:hint="eastAsia" w:ascii="宋体" w:hAnsi="宋体" w:eastAsia="宋体" w:cs="宋体"/>
                <w:color w:val="FF0000"/>
                <w:kern w:val="0"/>
                <w:sz w:val="15"/>
                <w:szCs w:val="15"/>
              </w:rPr>
              <w:t>　　（二）从事国家和行业部门认定的危险作业，违反本条例规定的。</w:t>
            </w:r>
          </w:p>
          <w:p w14:paraId="5CA7EC5C">
            <w:pPr>
              <w:widowControl/>
              <w:spacing w:line="240" w:lineRule="exact"/>
              <w:jc w:val="left"/>
              <w:rPr>
                <w:rFonts w:ascii="宋体" w:hAnsi="宋体" w:eastAsia="宋体" w:cs="宋体"/>
                <w:snapToGrid w:val="0"/>
                <w:color w:val="FF0000"/>
                <w:kern w:val="0"/>
                <w:sz w:val="15"/>
                <w:szCs w:val="15"/>
                <w:lang w:val="en-US" w:eastAsia="zh-CN" w:bidi="ar-SA"/>
              </w:rPr>
            </w:pPr>
          </w:p>
        </w:tc>
        <w:tc>
          <w:tcPr>
            <w:tcW w:w="1740" w:type="dxa"/>
            <w:vAlign w:val="center"/>
          </w:tcPr>
          <w:p w14:paraId="77093DF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5F5FD9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43B9FC0B">
            <w:pPr>
              <w:pStyle w:val="9"/>
            </w:pPr>
          </w:p>
        </w:tc>
      </w:tr>
      <w:tr w14:paraId="1843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0" w:type="auto"/>
            <w:vAlign w:val="center"/>
          </w:tcPr>
          <w:p w14:paraId="504FCAB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43</w:t>
            </w:r>
          </w:p>
        </w:tc>
        <w:tc>
          <w:tcPr>
            <w:tcW w:w="0" w:type="auto"/>
            <w:vAlign w:val="center"/>
          </w:tcPr>
          <w:p w14:paraId="2E4E07C3">
            <w:pPr>
              <w:spacing w:beforeLines="50" w:afterLines="50"/>
              <w:rPr>
                <w:rFonts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sz w:val="18"/>
                <w:szCs w:val="18"/>
              </w:rPr>
              <w:t>对可再生能源全额保障性收购情况的行政处罚</w:t>
            </w:r>
          </w:p>
        </w:tc>
        <w:tc>
          <w:tcPr>
            <w:tcW w:w="0" w:type="auto"/>
            <w:vAlign w:val="center"/>
          </w:tcPr>
          <w:p w14:paraId="4B6AACB2">
            <w:pPr>
              <w:spacing w:beforeLines="50" w:afterLines="50"/>
              <w:jc w:val="center"/>
              <w:rPr>
                <w:rFonts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行政处罚</w:t>
            </w:r>
          </w:p>
        </w:tc>
        <w:tc>
          <w:tcPr>
            <w:tcW w:w="4256" w:type="dxa"/>
            <w:vAlign w:val="center"/>
          </w:tcPr>
          <w:p w14:paraId="271A0FA0">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宋体"/>
                <w:color w:val="auto"/>
                <w:kern w:val="0"/>
                <w:sz w:val="13"/>
                <w:szCs w:val="13"/>
              </w:rPr>
            </w:pPr>
            <w:r>
              <w:rPr>
                <w:rFonts w:hint="eastAsia" w:ascii="宋体" w:hAnsi="宋体" w:eastAsia="宋体" w:cs="宋体"/>
                <w:color w:val="auto"/>
                <w:kern w:val="0"/>
                <w:sz w:val="13"/>
                <w:szCs w:val="13"/>
              </w:rPr>
              <w:t>1.【法律】《中华人民共和国可再生能源法》第二十九条：“违反本法第十四条规定，电网企业未全额收购可再生能源电量，造成可再生能源发电企业经济损失的，应当承担赔偿责任，并由国家电力监管机构责令限期改正；拒不改正的，处以可再生能源发电企业经济损失额一倍以下的罚款。”</w:t>
            </w:r>
          </w:p>
          <w:p w14:paraId="4BE58539">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宋体"/>
                <w:snapToGrid w:val="0"/>
                <w:color w:val="auto"/>
                <w:kern w:val="0"/>
                <w:sz w:val="15"/>
                <w:szCs w:val="15"/>
                <w:lang w:val="en-US" w:eastAsia="en-US" w:bidi="ar-SA"/>
              </w:rPr>
            </w:pPr>
            <w:r>
              <w:rPr>
                <w:rFonts w:hint="eastAsia" w:ascii="宋体" w:hAnsi="宋体" w:eastAsia="宋体" w:cs="宋体"/>
                <w:color w:val="auto"/>
                <w:kern w:val="0"/>
                <w:sz w:val="13"/>
                <w:szCs w:val="13"/>
              </w:rPr>
              <w:t>2.【规章】《电网企业全额收购可再生能源电量监管办法》（国家电力监管委员会令第25号）第二十条：“电网企业、电力调度机构有下列行为之一，造成可再生能源发电企业经济损失的，电网企业应当承担赔偿责任，并由电力监管机构责令限期改正；拒不改正的，电力监管机构可以处以可再生能源发电企业经济损失额一倍以下的罚款：（一）违反规定未建设或者未及时建设可再生能源发电项目接入工程的；（二）拒绝或者阻碍与可再生能源发电企业签订购售电合同、并网调度协议的；　　（三）未提供或者未及时提供可再生能源发电上网服务的；（四）未优先调度可再生能源发电的；（五）其它因电网企业或者电力调度机构原因造成未能全额收购可再生能源电量的情形。电网企业应当自电力监管机构认定可再生能源发电企业经济损失之日起15日内予以赔偿。”</w:t>
            </w:r>
          </w:p>
        </w:tc>
        <w:tc>
          <w:tcPr>
            <w:tcW w:w="1740" w:type="dxa"/>
            <w:vAlign w:val="center"/>
          </w:tcPr>
          <w:p w14:paraId="09BA354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67292D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4FC4CE97">
            <w:pPr>
              <w:pStyle w:val="9"/>
            </w:pPr>
          </w:p>
        </w:tc>
      </w:tr>
      <w:tr w14:paraId="6452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0" w:hRule="atLeast"/>
        </w:trPr>
        <w:tc>
          <w:tcPr>
            <w:tcW w:w="0" w:type="auto"/>
            <w:vAlign w:val="center"/>
          </w:tcPr>
          <w:p w14:paraId="726910F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44</w:t>
            </w:r>
          </w:p>
        </w:tc>
        <w:tc>
          <w:tcPr>
            <w:tcW w:w="0" w:type="auto"/>
            <w:vAlign w:val="center"/>
          </w:tcPr>
          <w:p w14:paraId="04408A20">
            <w:pPr>
              <w:spacing w:beforeLines="50" w:afterLines="50"/>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z w:val="18"/>
                <w:szCs w:val="18"/>
              </w:rPr>
              <w:t>对依法必须招标项目的违法行为</w:t>
            </w:r>
            <w:r>
              <w:rPr>
                <w:rFonts w:hint="eastAsia" w:ascii="仿宋_GB2312" w:hAnsi="仿宋_GB2312" w:eastAsia="仿宋_GB2312" w:cs="仿宋_GB2312"/>
                <w:sz w:val="18"/>
                <w:szCs w:val="18"/>
                <w:lang w:val="en-US" w:eastAsia="zh-CN"/>
              </w:rPr>
              <w:t>的行政</w:t>
            </w:r>
            <w:r>
              <w:rPr>
                <w:rFonts w:hint="eastAsia" w:ascii="仿宋_GB2312" w:hAnsi="仿宋_GB2312" w:eastAsia="仿宋_GB2312" w:cs="仿宋_GB2312"/>
                <w:sz w:val="18"/>
                <w:szCs w:val="18"/>
              </w:rPr>
              <w:t>处罚</w:t>
            </w:r>
          </w:p>
        </w:tc>
        <w:tc>
          <w:tcPr>
            <w:tcW w:w="0" w:type="auto"/>
            <w:vAlign w:val="center"/>
          </w:tcPr>
          <w:p w14:paraId="0C93B31D">
            <w:pPr>
              <w:spacing w:beforeLines="50" w:afterLines="50"/>
              <w:jc w:val="center"/>
              <w:rPr>
                <w:rFonts w:hint="eastAsia" w:ascii="仿宋_GB2312" w:hAnsi="仿宋_GB2312" w:eastAsia="仿宋_GB2312" w:cs="仿宋_GB2312"/>
                <w:snapToGrid w:val="0"/>
                <w:color w:val="auto"/>
                <w:kern w:val="2"/>
                <w:sz w:val="24"/>
                <w:szCs w:val="24"/>
                <w:lang w:val="en-US" w:eastAsia="zh-CN" w:bidi="ar-SA"/>
              </w:rPr>
            </w:pPr>
            <w:r>
              <w:rPr>
                <w:rFonts w:hint="eastAsia" w:ascii="仿宋_GB2312" w:hAnsi="仿宋_GB2312" w:eastAsia="仿宋_GB2312" w:cs="仿宋_GB2312"/>
                <w:sz w:val="24"/>
              </w:rPr>
              <w:t>行政处罚</w:t>
            </w:r>
          </w:p>
        </w:tc>
        <w:tc>
          <w:tcPr>
            <w:tcW w:w="4256" w:type="dxa"/>
            <w:vAlign w:val="center"/>
          </w:tcPr>
          <w:p w14:paraId="724948EC">
            <w:pPr>
              <w:keepNext w:val="0"/>
              <w:keepLines w:val="0"/>
              <w:pageBreakBefore w:val="0"/>
              <w:widowControl/>
              <w:suppressLineNumbers w:val="0"/>
              <w:kinsoku/>
              <w:wordWrap/>
              <w:overflowPunct/>
              <w:topLinePunct w:val="0"/>
              <w:autoSpaceDE/>
              <w:autoSpaceDN/>
              <w:bidi w:val="0"/>
              <w:adjustRightInd/>
              <w:snapToGrid/>
              <w:spacing w:line="180" w:lineRule="exact"/>
              <w:ind w:left="0" w:firstLine="0"/>
              <w:jc w:val="both"/>
              <w:textAlignment w:val="auto"/>
              <w:rPr>
                <w:rFonts w:hint="eastAsia" w:ascii="仿宋" w:hAnsi="仿宋" w:eastAsia="仿宋" w:cs="仿宋"/>
                <w:color w:val="auto"/>
                <w:sz w:val="15"/>
                <w:szCs w:val="15"/>
              </w:rPr>
            </w:pPr>
            <w:r>
              <w:rPr>
                <w:rFonts w:hint="eastAsia" w:ascii="仿宋" w:hAnsi="仿宋" w:eastAsia="仿宋" w:cs="仿宋"/>
                <w:color w:val="auto"/>
                <w:sz w:val="15"/>
                <w:szCs w:val="15"/>
              </w:rPr>
              <w:t>【法律】《</w:t>
            </w:r>
            <w:r>
              <w:rPr>
                <w:rFonts w:hint="eastAsia" w:ascii="仿宋" w:hAnsi="仿宋" w:eastAsia="仿宋" w:cs="仿宋"/>
                <w:color w:val="auto"/>
                <w:sz w:val="15"/>
                <w:szCs w:val="15"/>
                <w:lang w:val="en-US" w:eastAsia="zh-CN"/>
              </w:rPr>
              <w:t>中华人民共和国</w:t>
            </w:r>
            <w:r>
              <w:rPr>
                <w:rFonts w:hint="eastAsia" w:ascii="仿宋" w:hAnsi="仿宋" w:eastAsia="仿宋" w:cs="仿宋"/>
                <w:color w:val="auto"/>
                <w:sz w:val="15"/>
                <w:szCs w:val="15"/>
              </w:rPr>
              <w:t>招标投标法》</w:t>
            </w:r>
            <w:r>
              <w:rPr>
                <w:rFonts w:hint="eastAsia" w:ascii="仿宋" w:hAnsi="仿宋" w:eastAsia="仿宋" w:cs="仿宋"/>
                <w:color w:val="auto"/>
                <w:sz w:val="15"/>
                <w:szCs w:val="15"/>
                <w:lang w:eastAsia="zh-CN"/>
              </w:rPr>
              <w:t>（中华人民共和国主席令第</w:t>
            </w:r>
            <w:r>
              <w:rPr>
                <w:rFonts w:hint="eastAsia" w:ascii="仿宋" w:hAnsi="仿宋" w:eastAsia="仿宋" w:cs="仿宋"/>
                <w:color w:val="auto"/>
                <w:sz w:val="15"/>
                <w:szCs w:val="15"/>
                <w:lang w:val="en-US" w:eastAsia="zh-CN"/>
              </w:rPr>
              <w:t>86</w:t>
            </w:r>
            <w:r>
              <w:rPr>
                <w:rFonts w:hint="eastAsia" w:ascii="仿宋" w:hAnsi="仿宋" w:eastAsia="仿宋" w:cs="仿宋"/>
                <w:color w:val="auto"/>
                <w:sz w:val="15"/>
                <w:szCs w:val="15"/>
                <w:lang w:eastAsia="zh-CN"/>
              </w:rPr>
              <w:t>号）</w:t>
            </w:r>
            <w:r>
              <w:rPr>
                <w:rFonts w:hint="eastAsia" w:ascii="仿宋" w:hAnsi="仿宋" w:eastAsia="仿宋" w:cs="仿宋"/>
                <w:color w:val="auto"/>
                <w:sz w:val="15"/>
                <w:szCs w:val="15"/>
              </w:rPr>
              <w:t>第七条招标投标活动及其当事人应当接受依法实施的监督。有关行政监督部门依法对招标投标活动实施监督，依法查处招标投标活动中的违法行为。 对招标投标活动的行政监督及有关部门的具体职权划分，由国务院规定。</w:t>
            </w:r>
          </w:p>
          <w:p w14:paraId="42FCD278">
            <w:pPr>
              <w:keepNext w:val="0"/>
              <w:keepLines w:val="0"/>
              <w:pageBreakBefore w:val="0"/>
              <w:widowControl/>
              <w:suppressLineNumbers w:val="0"/>
              <w:kinsoku/>
              <w:wordWrap/>
              <w:overflowPunct/>
              <w:topLinePunct w:val="0"/>
              <w:autoSpaceDE/>
              <w:autoSpaceDN/>
              <w:bidi w:val="0"/>
              <w:adjustRightInd/>
              <w:snapToGrid/>
              <w:spacing w:line="180" w:lineRule="exact"/>
              <w:ind w:left="0" w:firstLine="0"/>
              <w:jc w:val="both"/>
              <w:textAlignment w:val="auto"/>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行政法规</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中华人民共和国招标投标法实施条例》（中华人民共和国国务院令第709号）第四条</w:t>
            </w:r>
          </w:p>
          <w:p w14:paraId="7C38EB11">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firstLine="0" w:firstLineChars="0"/>
              <w:jc w:val="both"/>
              <w:textAlignment w:val="auto"/>
              <w:rPr>
                <w:rFonts w:hint="eastAsia" w:ascii="宋体" w:hAnsi="宋体" w:eastAsia="宋体" w:cs="宋体"/>
                <w:snapToGrid w:val="0"/>
                <w:color w:val="auto"/>
                <w:kern w:val="0"/>
                <w:sz w:val="15"/>
                <w:szCs w:val="15"/>
                <w:lang w:val="en-US" w:eastAsia="zh-CN" w:bidi="ar-SA"/>
              </w:rPr>
            </w:pPr>
            <w:r>
              <w:rPr>
                <w:rFonts w:hint="eastAsia" w:ascii="仿宋" w:hAnsi="仿宋" w:eastAsia="仿宋" w:cs="仿宋"/>
                <w:color w:val="auto"/>
                <w:sz w:val="15"/>
                <w:szCs w:val="15"/>
                <w:lang w:val="en-US" w:eastAsia="zh-CN"/>
              </w:rPr>
              <w:t>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财政部门依法对实行招标投标的政府采购工程建设项目的预算执行情况和政府采购政策执行情况实施监督。 监察机关依法对与招标投标活动有关的监察对象实施监察。</w:t>
            </w:r>
          </w:p>
        </w:tc>
        <w:tc>
          <w:tcPr>
            <w:tcW w:w="1740" w:type="dxa"/>
            <w:vAlign w:val="center"/>
          </w:tcPr>
          <w:p w14:paraId="40CDA7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B08AAF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262ED1E9">
            <w:pPr>
              <w:pStyle w:val="9"/>
            </w:pPr>
          </w:p>
        </w:tc>
      </w:tr>
      <w:tr w14:paraId="6065C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8" w:hRule="atLeast"/>
        </w:trPr>
        <w:tc>
          <w:tcPr>
            <w:tcW w:w="0" w:type="auto"/>
            <w:vAlign w:val="center"/>
          </w:tcPr>
          <w:p w14:paraId="525DFF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45</w:t>
            </w:r>
          </w:p>
        </w:tc>
        <w:tc>
          <w:tcPr>
            <w:tcW w:w="0" w:type="auto"/>
            <w:vAlign w:val="center"/>
          </w:tcPr>
          <w:p w14:paraId="281C2650">
            <w:pPr>
              <w:widowControl/>
              <w:textAlignment w:val="center"/>
              <w:rPr>
                <w:rFonts w:hint="eastAsia" w:ascii="仿宋_GB2312" w:hAnsi="仿宋_GB2312" w:eastAsia="仿宋_GB2312" w:cs="仿宋_GB2312"/>
                <w:snapToGrid w:val="0"/>
                <w:color w:val="000000"/>
                <w:kern w:val="2"/>
                <w:sz w:val="18"/>
                <w:szCs w:val="18"/>
                <w:lang w:val="en-US" w:eastAsia="zh-CN" w:bidi="ar-SA"/>
              </w:rPr>
            </w:pPr>
            <w:r>
              <w:rPr>
                <w:rFonts w:hint="eastAsia" w:ascii="仿宋_GB2312" w:hAnsi="仿宋_GB2312" w:eastAsia="仿宋_GB2312" w:cs="仿宋_GB2312"/>
                <w:color w:val="auto"/>
                <w:kern w:val="0"/>
                <w:sz w:val="18"/>
                <w:szCs w:val="18"/>
              </w:rPr>
              <w:t>对全省节能工作先进集体和先进个人的表彰奖励</w:t>
            </w:r>
          </w:p>
        </w:tc>
        <w:tc>
          <w:tcPr>
            <w:tcW w:w="0" w:type="auto"/>
            <w:vAlign w:val="center"/>
          </w:tcPr>
          <w:p w14:paraId="16FB2118">
            <w:pPr>
              <w:spacing w:beforeLines="50" w:afterLines="50"/>
              <w:jc w:val="center"/>
              <w:rPr>
                <w:rFonts w:hint="eastAsia" w:ascii="仿宋_GB2312" w:hAnsi="仿宋_GB2312" w:eastAsia="仿宋_GB2312" w:cs="仿宋_GB2312"/>
                <w:snapToGrid w:val="0"/>
                <w:color w:val="000000"/>
                <w:kern w:val="2"/>
                <w:sz w:val="24"/>
                <w:szCs w:val="24"/>
                <w:lang w:val="en-US" w:eastAsia="zh-CN" w:bidi="ar-SA"/>
              </w:rPr>
            </w:pPr>
            <w:r>
              <w:rPr>
                <w:rFonts w:hint="eastAsia" w:ascii="仿宋_GB2312" w:hAnsi="仿宋_GB2312" w:eastAsia="仿宋_GB2312" w:cs="仿宋_GB2312"/>
                <w:color w:val="auto"/>
                <w:sz w:val="24"/>
              </w:rPr>
              <w:t>行政奖励</w:t>
            </w:r>
          </w:p>
        </w:tc>
        <w:tc>
          <w:tcPr>
            <w:tcW w:w="4256" w:type="dxa"/>
            <w:vAlign w:val="center"/>
          </w:tcPr>
          <w:p w14:paraId="5F4693F3">
            <w:pPr>
              <w:spacing w:line="240" w:lineRule="exact"/>
              <w:rPr>
                <w:rFonts w:ascii="仿宋_GB2312" w:hAnsi="仿宋_GB2312" w:eastAsia="仿宋_GB2312" w:cs="仿宋_GB2312"/>
                <w:color w:val="auto"/>
                <w:sz w:val="13"/>
                <w:szCs w:val="13"/>
              </w:rPr>
            </w:pPr>
            <w:r>
              <w:rPr>
                <w:rFonts w:hint="eastAsia" w:ascii="仿宋_GB2312" w:hAnsi="仿宋_GB2312" w:eastAsia="仿宋_GB2312" w:cs="仿宋_GB2312"/>
                <w:color w:val="auto"/>
                <w:sz w:val="13"/>
                <w:szCs w:val="13"/>
              </w:rPr>
              <w:t>【法律】《</w:t>
            </w:r>
            <w:r>
              <w:rPr>
                <w:rFonts w:hint="eastAsia" w:ascii="仿宋_GB2312" w:hAnsi="仿宋_GB2312" w:eastAsia="仿宋_GB2312" w:cs="仿宋_GB2312"/>
                <w:color w:val="auto"/>
                <w:sz w:val="13"/>
                <w:szCs w:val="13"/>
                <w:lang w:val="en-US" w:eastAsia="zh-CN"/>
              </w:rPr>
              <w:t>中华人民共和国</w:t>
            </w:r>
            <w:r>
              <w:rPr>
                <w:rFonts w:hint="eastAsia" w:ascii="仿宋_GB2312" w:hAnsi="仿宋_GB2312" w:eastAsia="仿宋_GB2312" w:cs="仿宋_GB2312"/>
                <w:color w:val="auto"/>
                <w:sz w:val="13"/>
                <w:szCs w:val="13"/>
              </w:rPr>
              <w:t>节约能源法》第六十七条 各级人民 政府对在节能管理、节能科学技术研究和推广应用中有显著成绩以及检举严重浪费能源行为的单位和个人，给予表彰和奖励。</w:t>
            </w:r>
          </w:p>
          <w:p w14:paraId="6180FE89">
            <w:pPr>
              <w:spacing w:line="240" w:lineRule="exact"/>
              <w:rPr>
                <w:rFonts w:hint="eastAsia" w:ascii="仿宋_GB2312" w:hAnsi="仿宋_GB2312" w:eastAsia="仿宋_GB2312" w:cs="仿宋_GB2312"/>
                <w:color w:val="FF0000"/>
                <w:sz w:val="13"/>
                <w:szCs w:val="13"/>
              </w:rPr>
            </w:pPr>
            <w:r>
              <w:rPr>
                <w:rFonts w:hint="eastAsia" w:ascii="仿宋_GB2312" w:hAnsi="仿宋_GB2312" w:eastAsia="仿宋_GB2312" w:cs="仿宋_GB2312"/>
                <w:color w:val="FF0000"/>
                <w:sz w:val="13"/>
                <w:szCs w:val="13"/>
              </w:rPr>
              <w:t>【地方性法规】《山西省节约能源条例》第三十四条 县级以上人民政府应当设立节能专项资金。</w:t>
            </w:r>
          </w:p>
          <w:p w14:paraId="02C7A4D7">
            <w:pPr>
              <w:spacing w:line="240" w:lineRule="exact"/>
              <w:rPr>
                <w:rFonts w:hint="eastAsia" w:ascii="仿宋_GB2312" w:hAnsi="仿宋_GB2312" w:eastAsia="仿宋_GB2312" w:cs="仿宋_GB2312"/>
                <w:color w:val="FF0000"/>
                <w:sz w:val="13"/>
                <w:szCs w:val="13"/>
              </w:rPr>
            </w:pPr>
            <w:r>
              <w:rPr>
                <w:rFonts w:hint="eastAsia" w:ascii="仿宋_GB2312" w:hAnsi="仿宋_GB2312" w:eastAsia="仿宋_GB2312" w:cs="仿宋_GB2312"/>
                <w:color w:val="FF0000"/>
                <w:sz w:val="13"/>
                <w:szCs w:val="13"/>
              </w:rPr>
              <w:t>节能专项资金的使用和管理办法由省人民政府制定。</w:t>
            </w:r>
          </w:p>
          <w:p w14:paraId="73E3D8C1">
            <w:pPr>
              <w:spacing w:line="240" w:lineRule="exact"/>
              <w:rPr>
                <w:rFonts w:ascii="仿宋_GB2312" w:hAnsi="仿宋_GB2312" w:eastAsia="仿宋_GB2312" w:cs="仿宋_GB2312"/>
                <w:color w:val="FF0000"/>
                <w:sz w:val="13"/>
                <w:szCs w:val="13"/>
              </w:rPr>
            </w:pPr>
            <w:r>
              <w:rPr>
                <w:rFonts w:hint="eastAsia" w:ascii="仿宋_GB2312" w:hAnsi="仿宋_GB2312" w:eastAsia="仿宋_GB2312" w:cs="仿宋_GB2312"/>
                <w:color w:val="FF0000"/>
                <w:sz w:val="13"/>
                <w:szCs w:val="13"/>
              </w:rPr>
              <w:t>第三十五条 县级以上人民政府应当按照有关规定，通过财政补贴、价格调控、落实税收优惠等方式，鼓励和支持节能活动。</w:t>
            </w:r>
          </w:p>
          <w:p w14:paraId="5DEEF2B6">
            <w:pPr>
              <w:spacing w:line="240" w:lineRule="exact"/>
              <w:rPr>
                <w:rFonts w:hint="eastAsia" w:ascii="仿宋_GB2312" w:hAnsi="仿宋_GB2312" w:eastAsia="仿宋_GB2312" w:cs="仿宋_GB2312"/>
                <w:color w:val="auto"/>
                <w:sz w:val="13"/>
                <w:szCs w:val="13"/>
              </w:rPr>
            </w:pPr>
            <w:r>
              <w:rPr>
                <w:rFonts w:hint="eastAsia" w:ascii="仿宋_GB2312" w:hAnsi="仿宋_GB2312" w:eastAsia="仿宋_GB2312" w:cs="仿宋_GB2312"/>
                <w:color w:val="auto"/>
                <w:sz w:val="13"/>
                <w:szCs w:val="13"/>
              </w:rPr>
              <w:t>【规范性文件】《国务院 关于加强节能工作的决定》(国发[2006]28号)（三十四）实行节能奖励制度。各地区、各部门 对在节能管理、节能科学 技术研究和推广工作中做 出显著成绩的单位及个人要给予表彰和奖励。能源生产经营单位和用能单位要制定科学合理的节能奖励办法，结合本单位的实 际情况，对节能工作中作 出贡献的集体、个人给予表彰和奖励，节能奖励计入工资总额。</w:t>
            </w:r>
          </w:p>
          <w:p w14:paraId="1FC7D2ED">
            <w:pPr>
              <w:spacing w:line="240" w:lineRule="exact"/>
              <w:rPr>
                <w:rFonts w:hint="eastAsia" w:ascii="仿宋" w:hAnsi="仿宋" w:eastAsia="仿宋" w:cs="仿宋"/>
                <w:snapToGrid w:val="0"/>
                <w:color w:val="auto"/>
                <w:kern w:val="2"/>
                <w:sz w:val="15"/>
                <w:szCs w:val="15"/>
                <w:lang w:val="en-US" w:eastAsia="zh-CN" w:bidi="ar-SA"/>
              </w:rPr>
            </w:pPr>
          </w:p>
        </w:tc>
        <w:tc>
          <w:tcPr>
            <w:tcW w:w="1740" w:type="dxa"/>
            <w:vAlign w:val="center"/>
          </w:tcPr>
          <w:p w14:paraId="058EF55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DCA5A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0765EDE">
            <w:pPr>
              <w:pStyle w:val="9"/>
            </w:pPr>
          </w:p>
        </w:tc>
      </w:tr>
      <w:tr w14:paraId="41C6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4" w:hRule="atLeast"/>
        </w:trPr>
        <w:tc>
          <w:tcPr>
            <w:tcW w:w="0" w:type="auto"/>
            <w:vAlign w:val="center"/>
          </w:tcPr>
          <w:p w14:paraId="671D753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46</w:t>
            </w:r>
          </w:p>
        </w:tc>
        <w:tc>
          <w:tcPr>
            <w:tcW w:w="0" w:type="auto"/>
            <w:vAlign w:val="center"/>
          </w:tcPr>
          <w:p w14:paraId="7963079A">
            <w:pPr>
              <w:widowControl/>
              <w:textAlignment w:val="center"/>
              <w:rPr>
                <w:rFonts w:hint="default" w:ascii="仿宋_GB2312" w:hAnsi="仿宋_GB2312" w:eastAsia="仿宋_GB2312" w:cs="仿宋_GB2312"/>
                <w:color w:val="FF0000"/>
                <w:kern w:val="0"/>
                <w:sz w:val="18"/>
                <w:szCs w:val="18"/>
                <w:lang w:val="en-US" w:eastAsia="en-US"/>
              </w:rPr>
            </w:pPr>
            <w:r>
              <w:rPr>
                <w:rFonts w:hint="eastAsia" w:ascii="仿宋_GB2312" w:hAnsi="仿宋_GB2312" w:eastAsia="仿宋_GB2312" w:cs="仿宋_GB2312"/>
                <w:color w:val="FF0000"/>
                <w:kern w:val="0"/>
                <w:sz w:val="18"/>
                <w:szCs w:val="18"/>
                <w:lang w:val="en-US" w:eastAsia="zh-CN"/>
              </w:rPr>
              <w:t>对电力企业和可再生能源情况的监督检查</w:t>
            </w:r>
          </w:p>
        </w:tc>
        <w:tc>
          <w:tcPr>
            <w:tcW w:w="0" w:type="auto"/>
            <w:vAlign w:val="center"/>
          </w:tcPr>
          <w:p w14:paraId="444217D8">
            <w:pPr>
              <w:spacing w:beforeLines="50" w:afterLines="50"/>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行政检查</w:t>
            </w:r>
          </w:p>
        </w:tc>
        <w:tc>
          <w:tcPr>
            <w:tcW w:w="4256" w:type="dxa"/>
            <w:vAlign w:val="center"/>
          </w:tcPr>
          <w:p w14:paraId="6DC2E2D6">
            <w:pPr>
              <w:widowControl/>
              <w:textAlignment w:val="center"/>
              <w:rPr>
                <w:rFonts w:hint="eastAsia" w:ascii="仿宋_GB2312" w:hAnsi="仿宋_GB2312" w:eastAsia="仿宋_GB2312" w:cs="仿宋_GB2312"/>
                <w:color w:val="auto"/>
                <w:kern w:val="0"/>
                <w:sz w:val="18"/>
                <w:szCs w:val="18"/>
                <w:lang w:val="en-US" w:eastAsia="en-US"/>
              </w:rPr>
            </w:pPr>
            <w:r>
              <w:rPr>
                <w:rFonts w:hint="eastAsia" w:ascii="仿宋_GB2312" w:hAnsi="仿宋_GB2312" w:eastAsia="仿宋_GB2312" w:cs="仿宋_GB2312"/>
                <w:color w:val="auto"/>
                <w:kern w:val="0"/>
                <w:sz w:val="18"/>
                <w:szCs w:val="18"/>
                <w:lang w:val="en-US" w:eastAsia="zh-CN"/>
              </w:rPr>
              <w:t>【法律】《中华人民共和国电力法》第六条　县级以上地方人民政府经济综合主管部门是本行政区域内的电力管理部门，负责电力事业的监督管理。县级以上地方人民政府有关部门在各自的职责范围内负责电力事业的监督管理。第五十六条　电力管理部门依法对电力企业和用户执行电力法律、行政法规的情况进行监督检查。</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【法律】《中华人民共和国可再生能源法》第五条国务院能源主管部门对全国可再生能源的开发利用实施统一管理。国务院有关部门在各自的职责范围内负责有关的可再生能源开发利用管理工作。</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县级以上地方人民政府管理能源工作的部门负责本行政区域内可再生能源开发利用的管理工作。县级以上地方人民政府有关部门在各自的职责范围内负责有关的可再生能源开发利用管理工作。</w:t>
            </w:r>
          </w:p>
        </w:tc>
        <w:tc>
          <w:tcPr>
            <w:tcW w:w="1740" w:type="dxa"/>
            <w:vAlign w:val="center"/>
          </w:tcPr>
          <w:p w14:paraId="71D0A37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EF24B8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5007D7AB">
            <w:pPr>
              <w:pStyle w:val="9"/>
            </w:pPr>
          </w:p>
        </w:tc>
      </w:tr>
      <w:tr w14:paraId="2ED16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1211EAE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47</w:t>
            </w:r>
          </w:p>
        </w:tc>
        <w:tc>
          <w:tcPr>
            <w:tcW w:w="0" w:type="auto"/>
            <w:vAlign w:val="center"/>
          </w:tcPr>
          <w:p w14:paraId="67A0DA13">
            <w:pPr>
              <w:widowControl/>
              <w:textAlignment w:val="center"/>
              <w:rPr>
                <w:rFonts w:hint="default" w:ascii="仿宋_GB2312" w:hAnsi="仿宋_GB2312" w:eastAsia="仿宋_GB2312" w:cs="仿宋_GB2312"/>
                <w:color w:val="FF0000"/>
                <w:kern w:val="0"/>
                <w:sz w:val="18"/>
                <w:szCs w:val="18"/>
                <w:lang w:val="en-US" w:eastAsia="en-US"/>
              </w:rPr>
            </w:pPr>
            <w:r>
              <w:rPr>
                <w:rFonts w:hint="eastAsia" w:ascii="仿宋_GB2312" w:hAnsi="仿宋_GB2312" w:eastAsia="仿宋_GB2312" w:cs="仿宋_GB2312"/>
                <w:color w:val="FF0000"/>
                <w:kern w:val="0"/>
                <w:sz w:val="18"/>
                <w:szCs w:val="18"/>
                <w:lang w:val="en-US" w:eastAsia="zh-CN"/>
              </w:rPr>
              <w:t>对节能情况的监督检查</w:t>
            </w:r>
          </w:p>
        </w:tc>
        <w:tc>
          <w:tcPr>
            <w:tcW w:w="0" w:type="auto"/>
            <w:vAlign w:val="center"/>
          </w:tcPr>
          <w:p w14:paraId="2F9475C9">
            <w:pPr>
              <w:spacing w:beforeLines="50" w:afterLines="50"/>
              <w:jc w:val="center"/>
              <w:rPr>
                <w:rFonts w:hint="eastAsia" w:ascii="仿宋_GB2312" w:hAnsi="仿宋_GB2312" w:eastAsia="仿宋_GB2312" w:cs="仿宋_GB2312"/>
                <w:color w:val="auto"/>
                <w:sz w:val="24"/>
                <w:lang w:val="en-US" w:eastAsia="en-US"/>
              </w:rPr>
            </w:pPr>
            <w:r>
              <w:rPr>
                <w:rFonts w:hint="eastAsia" w:ascii="仿宋_GB2312" w:hAnsi="仿宋_GB2312" w:eastAsia="仿宋_GB2312" w:cs="仿宋_GB2312"/>
                <w:color w:val="auto"/>
                <w:sz w:val="24"/>
                <w:lang w:val="en-US" w:eastAsia="en-US"/>
              </w:rPr>
              <w:t>行政检查</w:t>
            </w:r>
          </w:p>
        </w:tc>
        <w:tc>
          <w:tcPr>
            <w:tcW w:w="4256" w:type="dxa"/>
            <w:vAlign w:val="center"/>
          </w:tcPr>
          <w:p w14:paraId="76C7F313">
            <w:pPr>
              <w:widowControl/>
              <w:textAlignment w:val="center"/>
              <w:rPr>
                <w:rFonts w:hint="eastAsia" w:ascii="仿宋_GB2312" w:hAnsi="仿宋_GB2312" w:eastAsia="仿宋_GB2312" w:cs="仿宋_GB2312"/>
                <w:color w:val="auto"/>
                <w:kern w:val="0"/>
                <w:sz w:val="18"/>
                <w:szCs w:val="18"/>
                <w:lang w:val="en-US" w:eastAsia="en-US"/>
              </w:rPr>
            </w:pPr>
            <w:r>
              <w:rPr>
                <w:rFonts w:hint="eastAsia" w:ascii="仿宋_GB2312" w:hAnsi="仿宋_GB2312" w:eastAsia="仿宋_GB2312" w:cs="仿宋_GB2312"/>
                <w:color w:val="auto"/>
                <w:kern w:val="0"/>
                <w:sz w:val="18"/>
                <w:szCs w:val="18"/>
                <w:lang w:val="en-US" w:eastAsia="zh-CN"/>
              </w:rPr>
              <w:t>【法律】《中华人民共和国节约能源法》第十条　县级以上地方各级人民政府管理节能工作的部门负责本行政区域内的节能监督管理工作。县级以上地方各级人民政府有关部门在各自的职责范围内负责节能监督管理工作，并接受同级管理节能工作的部门的指导。第十二条　县级以上人民政府管理节能工作的部门和有关部门应当在各自的职责范围内，加强对节能法律、法规和节能标准执行情况的监督检查，依法查处违法用能行为。</w:t>
            </w:r>
          </w:p>
        </w:tc>
        <w:tc>
          <w:tcPr>
            <w:tcW w:w="1740" w:type="dxa"/>
            <w:vAlign w:val="center"/>
          </w:tcPr>
          <w:p w14:paraId="0FD5D3C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594E40D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36170C4C">
            <w:pPr>
              <w:pStyle w:val="9"/>
            </w:pPr>
          </w:p>
        </w:tc>
      </w:tr>
      <w:tr w14:paraId="7A0F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0216C3B">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48</w:t>
            </w:r>
          </w:p>
        </w:tc>
        <w:tc>
          <w:tcPr>
            <w:tcW w:w="0" w:type="auto"/>
            <w:vAlign w:val="center"/>
          </w:tcPr>
          <w:p w14:paraId="2CD5B26E">
            <w:pPr>
              <w:widowControl/>
              <w:textAlignment w:val="center"/>
              <w:rPr>
                <w:rFonts w:hint="default" w:ascii="仿宋_GB2312" w:hAnsi="仿宋_GB2312" w:eastAsia="仿宋_GB2312" w:cs="仿宋_GB2312"/>
                <w:color w:val="FF0000"/>
                <w:kern w:val="0"/>
                <w:sz w:val="18"/>
                <w:szCs w:val="18"/>
                <w:lang w:val="en-US" w:eastAsia="en-US"/>
              </w:rPr>
            </w:pPr>
            <w:r>
              <w:rPr>
                <w:rFonts w:hint="eastAsia" w:ascii="仿宋_GB2312" w:hAnsi="仿宋_GB2312" w:eastAsia="仿宋_GB2312" w:cs="仿宋_GB2312"/>
                <w:color w:val="FF0000"/>
                <w:kern w:val="0"/>
                <w:sz w:val="18"/>
                <w:szCs w:val="18"/>
                <w:lang w:val="en-US" w:eastAsia="zh-CN"/>
              </w:rPr>
              <w:t>对石油天然气管道的保护检查</w:t>
            </w:r>
          </w:p>
        </w:tc>
        <w:tc>
          <w:tcPr>
            <w:tcW w:w="0" w:type="auto"/>
            <w:vAlign w:val="center"/>
          </w:tcPr>
          <w:p w14:paraId="779D989F">
            <w:pPr>
              <w:spacing w:beforeLines="50" w:afterLines="50"/>
              <w:jc w:val="center"/>
              <w:rPr>
                <w:rFonts w:hint="eastAsia" w:ascii="仿宋_GB2312" w:hAnsi="仿宋_GB2312" w:eastAsia="仿宋_GB2312" w:cs="仿宋_GB2312"/>
                <w:color w:val="auto"/>
                <w:sz w:val="24"/>
                <w:lang w:val="en-US" w:eastAsia="en-US"/>
              </w:rPr>
            </w:pPr>
            <w:r>
              <w:rPr>
                <w:rFonts w:hint="eastAsia" w:ascii="仿宋_GB2312" w:hAnsi="仿宋_GB2312" w:eastAsia="仿宋_GB2312" w:cs="仿宋_GB2312"/>
                <w:color w:val="auto"/>
                <w:sz w:val="24"/>
                <w:lang w:val="en-US" w:eastAsia="en-US"/>
              </w:rPr>
              <w:t>行政检查</w:t>
            </w:r>
          </w:p>
        </w:tc>
        <w:tc>
          <w:tcPr>
            <w:tcW w:w="4256" w:type="dxa"/>
            <w:vAlign w:val="center"/>
          </w:tcPr>
          <w:p w14:paraId="28471276">
            <w:pPr>
              <w:widowControl/>
              <w:textAlignment w:val="center"/>
              <w:rPr>
                <w:rFonts w:hint="eastAsia" w:ascii="仿宋_GB2312" w:hAnsi="仿宋_GB2312" w:eastAsia="仿宋_GB2312" w:cs="仿宋_GB2312"/>
                <w:color w:val="auto"/>
                <w:kern w:val="0"/>
                <w:sz w:val="18"/>
                <w:szCs w:val="18"/>
                <w:lang w:val="en-US" w:eastAsia="en-US"/>
              </w:rPr>
            </w:pPr>
            <w:r>
              <w:rPr>
                <w:rFonts w:hint="eastAsia" w:ascii="仿宋_GB2312" w:hAnsi="仿宋_GB2312" w:eastAsia="仿宋_GB2312" w:cs="仿宋_GB2312"/>
                <w:color w:val="auto"/>
                <w:kern w:val="0"/>
                <w:sz w:val="18"/>
                <w:szCs w:val="18"/>
                <w:lang w:val="en-US" w:eastAsia="zh-CN"/>
              </w:rPr>
              <w:t>【法律】《中华人民共和国石油天然气管道保护法》第五条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tc>
        <w:tc>
          <w:tcPr>
            <w:tcW w:w="1740" w:type="dxa"/>
            <w:vAlign w:val="center"/>
          </w:tcPr>
          <w:p w14:paraId="656F615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0B80032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09319676">
            <w:pPr>
              <w:pStyle w:val="9"/>
            </w:pPr>
          </w:p>
        </w:tc>
      </w:tr>
      <w:tr w14:paraId="767A6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4289F10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49</w:t>
            </w:r>
          </w:p>
        </w:tc>
        <w:tc>
          <w:tcPr>
            <w:tcW w:w="0" w:type="auto"/>
            <w:vAlign w:val="center"/>
          </w:tcPr>
          <w:p w14:paraId="037FC0AE">
            <w:pPr>
              <w:widowControl/>
              <w:textAlignment w:val="center"/>
              <w:rPr>
                <w:rFonts w:hint="eastAsia" w:ascii="仿宋_GB2312" w:hAnsi="仿宋_GB2312" w:eastAsia="仿宋_GB2312" w:cs="仿宋_GB2312"/>
                <w:color w:val="FF0000"/>
                <w:kern w:val="0"/>
                <w:sz w:val="18"/>
                <w:szCs w:val="18"/>
                <w:lang w:val="en-US" w:eastAsia="en-US"/>
              </w:rPr>
            </w:pPr>
            <w:r>
              <w:rPr>
                <w:rFonts w:hint="eastAsia" w:ascii="仿宋_GB2312" w:hAnsi="仿宋_GB2312" w:eastAsia="仿宋_GB2312" w:cs="仿宋_GB2312"/>
                <w:color w:val="FF0000"/>
                <w:kern w:val="0"/>
                <w:sz w:val="18"/>
                <w:szCs w:val="18"/>
                <w:lang w:val="en-US" w:eastAsia="zh-CN"/>
              </w:rPr>
              <w:t>对煤矿（含洗选煤厂）建设项目及生产技术的监督检查</w:t>
            </w:r>
          </w:p>
        </w:tc>
        <w:tc>
          <w:tcPr>
            <w:tcW w:w="0" w:type="auto"/>
            <w:vAlign w:val="center"/>
          </w:tcPr>
          <w:p w14:paraId="4BA6700F">
            <w:pPr>
              <w:spacing w:beforeLines="50" w:afterLines="50"/>
              <w:jc w:val="center"/>
              <w:rPr>
                <w:rFonts w:hint="eastAsia" w:ascii="仿宋_GB2312" w:hAnsi="仿宋_GB2312" w:eastAsia="仿宋_GB2312" w:cs="仿宋_GB2312"/>
                <w:color w:val="auto"/>
                <w:sz w:val="24"/>
                <w:lang w:val="en-US" w:eastAsia="en-US"/>
              </w:rPr>
            </w:pPr>
            <w:r>
              <w:rPr>
                <w:rFonts w:hint="eastAsia" w:ascii="仿宋_GB2312" w:hAnsi="仿宋_GB2312" w:eastAsia="仿宋_GB2312" w:cs="仿宋_GB2312"/>
                <w:color w:val="auto"/>
                <w:sz w:val="24"/>
                <w:lang w:val="en-US" w:eastAsia="en-US"/>
              </w:rPr>
              <w:t>行政检查</w:t>
            </w:r>
          </w:p>
        </w:tc>
        <w:tc>
          <w:tcPr>
            <w:tcW w:w="4256" w:type="dxa"/>
            <w:vAlign w:val="center"/>
          </w:tcPr>
          <w:p w14:paraId="509B5DF6">
            <w:pPr>
              <w:widowControl/>
              <w:textAlignment w:val="center"/>
              <w:rPr>
                <w:rFonts w:hint="eastAsia" w:ascii="仿宋_GB2312" w:hAnsi="仿宋_GB2312" w:eastAsia="仿宋_GB2312" w:cs="仿宋_GB2312"/>
                <w:color w:val="auto"/>
                <w:kern w:val="0"/>
                <w:sz w:val="18"/>
                <w:szCs w:val="18"/>
                <w:lang w:val="en-US" w:eastAsia="en-US"/>
              </w:rPr>
            </w:pPr>
            <w:r>
              <w:rPr>
                <w:rFonts w:hint="eastAsia" w:ascii="仿宋_GB2312" w:hAnsi="仿宋_GB2312" w:eastAsia="仿宋_GB2312" w:cs="仿宋_GB2312"/>
                <w:color w:val="auto"/>
                <w:kern w:val="0"/>
                <w:sz w:val="18"/>
                <w:szCs w:val="18"/>
                <w:lang w:val="en-US" w:eastAsia="zh-CN"/>
              </w:rPr>
              <w:t>【法律】《中华人民共和国煤炭法》第十二条</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县级以上地方人民政府煤炭管理部门和有关部门依法负责本行政区域内煤炭行业的监督管理。</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【行政法规】《建设工程质量管理条例》第四条县级以上人民政府建设行政主管部门和其他有关部门应当加强对建设工程质量的监督管理。</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第四十三条国家实行建设工程质量监督管理制度。</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国务院建设行政主管部门对全国的建设工程质量实施统一监督管理。国务院铁路、交通、水利等有关部门按照国务院规定的职责分工，负责对全国的有关专业建设工程质量的监督管理。</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【地方政府规章】《中共山西省委办公厅 山西省人民政府办公厅关于印发〈山西省能源局职能配置、内设机构和人员编制规定〉的通知》（厅字〔2018〕121号）“第四条 省能源局设下列内设机构：（六）煤炭生产技术处。……指导全省煤矿、洗（选）煤厂的生产技术工作, 制定相关生产技术规范、规程和标准。……”</w:t>
            </w:r>
          </w:p>
        </w:tc>
        <w:tc>
          <w:tcPr>
            <w:tcW w:w="1740" w:type="dxa"/>
            <w:vAlign w:val="center"/>
          </w:tcPr>
          <w:p w14:paraId="04D6D0C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B3208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35B5375A">
            <w:pPr>
              <w:pStyle w:val="9"/>
            </w:pPr>
          </w:p>
        </w:tc>
      </w:tr>
      <w:tr w14:paraId="6C78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B69EA2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50</w:t>
            </w:r>
          </w:p>
        </w:tc>
        <w:tc>
          <w:tcPr>
            <w:tcW w:w="0" w:type="auto"/>
            <w:vAlign w:val="center"/>
          </w:tcPr>
          <w:p w14:paraId="51E71CDD">
            <w:pPr>
              <w:widowControl/>
              <w:textAlignment w:val="center"/>
              <w:rPr>
                <w:rFonts w:hint="eastAsia" w:ascii="仿宋_GB2312" w:hAnsi="仿宋_GB2312" w:eastAsia="仿宋_GB2312" w:cs="仿宋_GB2312"/>
                <w:color w:val="FF0000"/>
                <w:kern w:val="0"/>
                <w:sz w:val="18"/>
                <w:szCs w:val="18"/>
                <w:lang w:val="en-US" w:eastAsia="zh-CN"/>
              </w:rPr>
            </w:pPr>
            <w:r>
              <w:rPr>
                <w:rFonts w:hint="eastAsia" w:ascii="仿宋_GB2312" w:hAnsi="仿宋_GB2312" w:eastAsia="仿宋_GB2312" w:cs="仿宋_GB2312"/>
                <w:color w:val="FF0000"/>
                <w:kern w:val="0"/>
                <w:sz w:val="18"/>
                <w:szCs w:val="18"/>
                <w:lang w:val="en-US" w:eastAsia="zh-CN"/>
              </w:rPr>
              <w:t>对能源企业（煤矿除外）安全生产情况的检查</w:t>
            </w:r>
          </w:p>
        </w:tc>
        <w:tc>
          <w:tcPr>
            <w:tcW w:w="0" w:type="auto"/>
            <w:vAlign w:val="center"/>
          </w:tcPr>
          <w:p w14:paraId="0BE93440">
            <w:pPr>
              <w:spacing w:beforeLines="50" w:afterLine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行政检查</w:t>
            </w:r>
          </w:p>
        </w:tc>
        <w:tc>
          <w:tcPr>
            <w:tcW w:w="4256" w:type="dxa"/>
            <w:vAlign w:val="center"/>
          </w:tcPr>
          <w:p w14:paraId="4E9E7451">
            <w:pPr>
              <w:widowControl/>
              <w:textAlignment w:val="center"/>
              <w:rPr>
                <w:rFonts w:hint="eastAsia" w:ascii="仿宋_GB2312" w:hAnsi="仿宋_GB2312" w:eastAsia="仿宋_GB2312" w:cs="仿宋_GB2312"/>
                <w:color w:val="auto"/>
                <w:kern w:val="0"/>
                <w:sz w:val="18"/>
                <w:szCs w:val="18"/>
                <w:lang w:val="en-US" w:eastAsia="en-US"/>
              </w:rPr>
            </w:pPr>
            <w:r>
              <w:rPr>
                <w:rFonts w:hint="eastAsia" w:ascii="仿宋_GB2312" w:hAnsi="仿宋_GB2312" w:eastAsia="仿宋_GB2312" w:cs="仿宋_GB2312"/>
                <w:color w:val="auto"/>
                <w:kern w:val="0"/>
                <w:sz w:val="18"/>
                <w:szCs w:val="18"/>
                <w:lang w:val="en-US" w:eastAsia="zh-CN"/>
              </w:rPr>
              <w:t>【法律】《中华人民共和国安全生产法》第三条 安全生产工作实行管行业必须管安全、管业务必须管安全、管生产经营必须管安全，强化和落实生产经营单位主体责任与政府监管责任，建立生产经营单位负责、职工参与、政府监管、行业自律和社会监督的机制。第十条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【地方性法规】《山西省安全生产条例》第六条 县级以上人民政府安全生产监督管理部门对安全生产工作实施综合监督管理，并承担同级人民政府安全生产委员会办公室职责。县级以上人民政府有关部门在各自的职责范围内对有关行业、领域的安全生产工作实施监督管理。</w:t>
            </w:r>
          </w:p>
        </w:tc>
        <w:tc>
          <w:tcPr>
            <w:tcW w:w="1740" w:type="dxa"/>
            <w:vAlign w:val="center"/>
          </w:tcPr>
          <w:p w14:paraId="5D79EBC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D35F88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tcPr>
          <w:p w14:paraId="1B096CFD">
            <w:pPr>
              <w:pStyle w:val="9"/>
            </w:pPr>
          </w:p>
        </w:tc>
      </w:tr>
      <w:tr w14:paraId="4324C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5AA57EC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SA"/>
              </w:rPr>
              <w:t>51</w:t>
            </w:r>
          </w:p>
        </w:tc>
        <w:tc>
          <w:tcPr>
            <w:tcW w:w="0" w:type="auto"/>
            <w:vAlign w:val="center"/>
          </w:tcPr>
          <w:p w14:paraId="6E98F896">
            <w:pPr>
              <w:widowControl/>
              <w:textAlignment w:val="center"/>
              <w:rPr>
                <w:rFonts w:hint="eastAsia" w:ascii="仿宋_GB2312" w:hAnsi="仿宋_GB2312" w:eastAsia="仿宋_GB2312" w:cs="仿宋_GB2312"/>
                <w:snapToGrid w:val="0"/>
                <w:color w:val="auto"/>
                <w:kern w:val="0"/>
                <w:sz w:val="18"/>
                <w:szCs w:val="18"/>
                <w:lang w:val="en-US" w:eastAsia="zh-CN" w:bidi="ar-SA"/>
              </w:rPr>
            </w:pPr>
            <w:r>
              <w:rPr>
                <w:rFonts w:hint="eastAsia" w:ascii="仿宋_GB2312" w:hAnsi="仿宋_GB2312" w:eastAsia="仿宋_GB2312" w:cs="仿宋_GB2312"/>
                <w:color w:val="auto"/>
                <w:kern w:val="0"/>
                <w:sz w:val="18"/>
                <w:szCs w:val="18"/>
              </w:rPr>
              <w:t>煤矿建设项目（含附属选煤厂）初步设计初审上报</w:t>
            </w:r>
          </w:p>
        </w:tc>
        <w:tc>
          <w:tcPr>
            <w:tcW w:w="0" w:type="auto"/>
            <w:vAlign w:val="center"/>
          </w:tcPr>
          <w:p w14:paraId="3CC3E048">
            <w:pPr>
              <w:spacing w:beforeLines="50" w:afterLine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其他类</w:t>
            </w:r>
          </w:p>
        </w:tc>
        <w:tc>
          <w:tcPr>
            <w:tcW w:w="4256" w:type="dxa"/>
            <w:vAlign w:val="center"/>
          </w:tcPr>
          <w:p w14:paraId="6C6803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13"/>
                <w:szCs w:val="13"/>
              </w:rPr>
            </w:pPr>
            <w:r>
              <w:rPr>
                <w:rFonts w:hint="eastAsia" w:ascii="仿宋_GB2312" w:hAnsi="仿宋_GB2312" w:eastAsia="仿宋_GB2312" w:cs="仿宋_GB2312"/>
                <w:color w:val="auto"/>
                <w:sz w:val="13"/>
                <w:szCs w:val="13"/>
              </w:rPr>
              <w:t>【法律】《中华人民共和国矿山安全法》第八条</w:t>
            </w:r>
            <w:r>
              <w:rPr>
                <w:rFonts w:hint="eastAsia" w:ascii="仿宋_GB2312" w:hAnsi="仿宋_GB2312" w:eastAsia="仿宋_GB2312" w:cs="仿宋_GB2312"/>
                <w:color w:val="auto"/>
                <w:sz w:val="13"/>
                <w:szCs w:val="13"/>
                <w:lang w:val="en-US" w:eastAsia="zh-CN"/>
              </w:rPr>
              <w:t xml:space="preserve">第一款 </w:t>
            </w:r>
            <w:r>
              <w:rPr>
                <w:rFonts w:hint="eastAsia" w:ascii="仿宋_GB2312" w:hAnsi="仿宋_GB2312" w:eastAsia="仿宋_GB2312" w:cs="仿宋_GB2312"/>
                <w:color w:val="auto"/>
                <w:sz w:val="13"/>
                <w:szCs w:val="13"/>
              </w:rPr>
              <w:t>矿山建设工程的设计文件，必须符合矿山安全规程和行业技术规范，并按照国家规定经管理矿山企业的主管部门批准;不符合矿山安全规程和行业技术规范的，不得批准。</w:t>
            </w:r>
          </w:p>
          <w:p w14:paraId="365557E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13"/>
                <w:szCs w:val="13"/>
              </w:rPr>
            </w:pPr>
            <w:r>
              <w:rPr>
                <w:rFonts w:hint="eastAsia" w:ascii="仿宋_GB2312" w:hAnsi="仿宋_GB2312" w:eastAsia="仿宋_GB2312" w:cs="仿宋_GB2312"/>
                <w:color w:val="auto"/>
                <w:sz w:val="13"/>
                <w:szCs w:val="13"/>
              </w:rPr>
              <w:t>【地方性法规】《山西省煤炭管理条例》第十六条</w:t>
            </w:r>
            <w:r>
              <w:rPr>
                <w:rFonts w:hint="eastAsia" w:ascii="仿宋_GB2312" w:hAnsi="仿宋_GB2312" w:eastAsia="仿宋_GB2312" w:cs="仿宋_GB2312"/>
                <w:color w:val="auto"/>
                <w:sz w:val="13"/>
                <w:szCs w:val="13"/>
                <w:lang w:val="en-US" w:eastAsia="zh-CN"/>
              </w:rPr>
              <w:t>第一款</w:t>
            </w:r>
            <w:r>
              <w:rPr>
                <w:rFonts w:hint="eastAsia" w:ascii="仿宋_GB2312" w:hAnsi="仿宋_GB2312" w:eastAsia="仿宋_GB2312" w:cs="仿宋_GB2312"/>
                <w:color w:val="auto"/>
                <w:sz w:val="13"/>
                <w:szCs w:val="13"/>
              </w:rPr>
              <w:t xml:space="preserve"> 煤矿建设工程按照批准的矿山设计进行施工。实行项目法人责任制和工程监理制，并接受工程质量监督机构的监督。</w:t>
            </w:r>
          </w:p>
          <w:p w14:paraId="796EA5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13"/>
                <w:szCs w:val="13"/>
              </w:rPr>
            </w:pPr>
            <w:r>
              <w:rPr>
                <w:rFonts w:hint="eastAsia" w:ascii="仿宋_GB2312" w:hAnsi="仿宋_GB2312" w:eastAsia="仿宋_GB2312" w:cs="仿宋_GB2312"/>
                <w:color w:val="auto"/>
                <w:sz w:val="13"/>
                <w:szCs w:val="13"/>
              </w:rPr>
              <w:t>【规范性文件】山西省能源局《关于进一步明确煤矿建设项目有关工作的通知》（晋能源煤开发[2019]177号）一、煤矿建设项目初步设计、开工建设煤矿建设项目初步设计、开工建设实行分级审批。新增生产能力90万吨/年以上的煤矿初步设计、开工建设由省能源局负责审批；新增生产能力90万吨/年及以下的煤矿初步设计、开工建设由市能源局负责审批。煤矿初步设计、开工建设审批的申请条件、申报材料、审批程序等按照原规定执行。煤矿企业申请批复初步设计和开工时需提供经原项目核准（审批）机关审核确认的产能置换方案。各市能源局批复的煤矿初步设计、开工建设文件应抄送省能源局。</w:t>
            </w:r>
          </w:p>
          <w:p w14:paraId="7D67CF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13"/>
                <w:szCs w:val="13"/>
                <w:lang w:val="en-US" w:eastAsia="zh-CN"/>
              </w:rPr>
            </w:pPr>
            <w:r>
              <w:rPr>
                <w:rFonts w:hint="eastAsia" w:ascii="仿宋_GB2312" w:hAnsi="仿宋_GB2312" w:eastAsia="仿宋_GB2312" w:cs="仿宋_GB2312"/>
                <w:color w:val="FF0000"/>
                <w:sz w:val="13"/>
                <w:szCs w:val="13"/>
              </w:rPr>
              <w:t>【规范性文件】</w:t>
            </w:r>
            <w:r>
              <w:rPr>
                <w:rFonts w:hint="eastAsia" w:ascii="仿宋_GB2312" w:hAnsi="仿宋_GB2312" w:eastAsia="仿宋_GB2312" w:cs="仿宋_GB2312"/>
                <w:color w:val="FF0000"/>
                <w:sz w:val="13"/>
                <w:szCs w:val="13"/>
                <w:lang w:eastAsia="zh-CN"/>
              </w:rPr>
              <w:t>《</w:t>
            </w:r>
            <w:r>
              <w:rPr>
                <w:rFonts w:hint="eastAsia" w:ascii="仿宋_GB2312" w:hAnsi="仿宋_GB2312" w:eastAsia="仿宋_GB2312" w:cs="仿宋_GB2312"/>
                <w:color w:val="FF0000"/>
                <w:sz w:val="13"/>
                <w:szCs w:val="13"/>
                <w:lang w:val="en-US" w:eastAsia="zh-CN"/>
              </w:rPr>
              <w:t>山西省能源局关于加强生产煤矿技术改造管理工作的通知》（晋能源煤技发〔2021〕314 号）（二）设计审批。技术改造项目设计，由煤矿报主体企业组织审查后，按照以下要求审批。</w:t>
            </w:r>
          </w:p>
          <w:p w14:paraId="07C29E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13"/>
                <w:szCs w:val="13"/>
                <w:lang w:val="en-US" w:eastAsia="zh-CN"/>
              </w:rPr>
            </w:pPr>
            <w:r>
              <w:rPr>
                <w:rFonts w:hint="eastAsia" w:ascii="仿宋_GB2312" w:hAnsi="仿宋_GB2312" w:eastAsia="仿宋_GB2312" w:cs="仿宋_GB2312"/>
                <w:color w:val="FF0000"/>
                <w:sz w:val="13"/>
                <w:szCs w:val="13"/>
                <w:lang w:val="en-US" w:eastAsia="zh-CN"/>
              </w:rPr>
              <w:t xml:space="preserve">1.涉及新增主副井或其它井筒调整为主副井、水平延深的技术改造项目设计，由主体企业根据山西省政务服务网公布的相应审批事项“办事指南”提交申请材料，按规定程序上报省能源局，省能源局按照有关规定批复。 2.涉及煤层配采的技术改造项目按《山西省人民政府关于印发&lt;山西省减轻企业负担促进工业稳定运行若干措施&gt;的通知》（晋政发〔2015〕11 号）和《山西省人民政府办公厅关于明确省属五 </w:t>
            </w:r>
          </w:p>
          <w:p w14:paraId="3BB25D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auto"/>
                <w:kern w:val="0"/>
                <w:sz w:val="13"/>
                <w:szCs w:val="13"/>
                <w:lang w:val="en-US" w:eastAsia="en-US" w:bidi="ar-SA"/>
              </w:rPr>
            </w:pPr>
            <w:r>
              <w:rPr>
                <w:rFonts w:hint="eastAsia" w:ascii="仿宋_GB2312" w:hAnsi="仿宋_GB2312" w:eastAsia="仿宋_GB2312" w:cs="仿宋_GB2312"/>
                <w:color w:val="FF0000"/>
                <w:sz w:val="13"/>
                <w:szCs w:val="13"/>
                <w:lang w:val="en-US" w:eastAsia="zh-CN"/>
              </w:rPr>
              <w:t>大煤炭集团公司 44 座煤矿安全监管职责的通知》（晋政办函〔2018〕138 号）有关规定执行。3.除省市能源局审批以外的其它项目（含新增或变更安全出口、进回风井、管道井、专用行人井和专门用于绿色开采返矸井或通道），设计由主体企业批复，并分别抄送省、市、县能源局（煤炭行业管理部门）。</w:t>
            </w:r>
          </w:p>
        </w:tc>
        <w:tc>
          <w:tcPr>
            <w:tcW w:w="1740" w:type="dxa"/>
            <w:vAlign w:val="center"/>
          </w:tcPr>
          <w:p w14:paraId="39A7204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9BEAB4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top"/>
          </w:tcPr>
          <w:p w14:paraId="053DF3B3">
            <w:pPr>
              <w:pStyle w:val="9"/>
            </w:pPr>
          </w:p>
        </w:tc>
      </w:tr>
      <w:tr w14:paraId="60AB9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6" w:hRule="atLeast"/>
        </w:trPr>
        <w:tc>
          <w:tcPr>
            <w:tcW w:w="0" w:type="auto"/>
            <w:vAlign w:val="center"/>
          </w:tcPr>
          <w:p w14:paraId="79FD9ED1">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52</w:t>
            </w:r>
          </w:p>
        </w:tc>
        <w:tc>
          <w:tcPr>
            <w:tcW w:w="0" w:type="auto"/>
            <w:vAlign w:val="center"/>
          </w:tcPr>
          <w:p w14:paraId="6FCD3B01">
            <w:pPr>
              <w:widowControl/>
              <w:textAlignment w:val="center"/>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kern w:val="0"/>
                <w:sz w:val="18"/>
                <w:szCs w:val="18"/>
              </w:rPr>
              <w:t>对重点用能单位报送的能源利用状况报告进行审查</w:t>
            </w:r>
          </w:p>
        </w:tc>
        <w:tc>
          <w:tcPr>
            <w:tcW w:w="0" w:type="auto"/>
            <w:vAlign w:val="center"/>
          </w:tcPr>
          <w:p w14:paraId="5CF43802">
            <w:pPr>
              <w:spacing w:beforeLines="50" w:afterLines="50"/>
              <w:jc w:val="center"/>
              <w:rPr>
                <w:rFonts w:hint="eastAsia"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其他类</w:t>
            </w:r>
          </w:p>
        </w:tc>
        <w:tc>
          <w:tcPr>
            <w:tcW w:w="4256" w:type="dxa"/>
            <w:vAlign w:val="center"/>
          </w:tcPr>
          <w:p w14:paraId="79616ECA">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【法律】《节约能源法》</w:t>
            </w:r>
          </w:p>
          <w:p w14:paraId="21BD68B2">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第五十四条 管理节能工作的部门应当对重点用能单位报送的能源利用状况报告进行审查。</w:t>
            </w:r>
          </w:p>
          <w:p w14:paraId="6E0008C2">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仿宋_GB2312" w:hAnsi="仿宋_GB2312" w:eastAsia="仿宋_GB2312" w:cs="仿宋_GB2312"/>
                <w:color w:val="FF0000"/>
                <w:sz w:val="18"/>
                <w:szCs w:val="18"/>
              </w:rPr>
            </w:pPr>
            <w:r>
              <w:rPr>
                <w:rFonts w:hint="eastAsia" w:ascii="仿宋_GB2312" w:hAnsi="仿宋_GB2312" w:eastAsia="仿宋_GB2312" w:cs="仿宋_GB2312"/>
                <w:color w:val="FF0000"/>
                <w:sz w:val="18"/>
                <w:szCs w:val="18"/>
              </w:rPr>
              <w:t>【地方性法规】《山西省节约能源条例》</w:t>
            </w:r>
          </w:p>
          <w:p w14:paraId="52AEE3A2">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宋体" w:hAnsi="宋体" w:eastAsia="宋体" w:cs="宋体"/>
                <w:snapToGrid w:val="0"/>
                <w:color w:val="auto"/>
                <w:kern w:val="0"/>
                <w:sz w:val="13"/>
                <w:szCs w:val="13"/>
                <w:lang w:val="en-US" w:eastAsia="en-US" w:bidi="ar-SA"/>
              </w:rPr>
            </w:pPr>
            <w:r>
              <w:rPr>
                <w:rFonts w:hint="eastAsia" w:ascii="仿宋_GB2312" w:hAnsi="仿宋_GB2312" w:eastAsia="仿宋_GB2312" w:cs="仿宋_GB2312"/>
                <w:color w:val="FF0000"/>
                <w:sz w:val="18"/>
                <w:szCs w:val="18"/>
              </w:rPr>
              <w:t xml:space="preserve"> 第二十六条 重点用能单位应当每年向节能主管部门报送上一年度的能源利用状况报告。节能主管部门应当对重点用能单位报送的能源利用状况报告进行审查。</w:t>
            </w:r>
          </w:p>
        </w:tc>
        <w:tc>
          <w:tcPr>
            <w:tcW w:w="1740" w:type="dxa"/>
            <w:vAlign w:val="center"/>
          </w:tcPr>
          <w:p w14:paraId="4F42E28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37F2BA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top"/>
          </w:tcPr>
          <w:p w14:paraId="52C70C1C">
            <w:pPr>
              <w:pStyle w:val="9"/>
              <w:rPr>
                <w:rFonts w:ascii="Arial" w:hAnsi="Arial" w:eastAsia="Arial" w:cs="Arial"/>
                <w:snapToGrid w:val="0"/>
                <w:color w:val="000000"/>
                <w:kern w:val="0"/>
                <w:sz w:val="21"/>
                <w:szCs w:val="21"/>
                <w:lang w:val="en-US" w:eastAsia="en-US" w:bidi="ar-SA"/>
              </w:rPr>
            </w:pPr>
          </w:p>
        </w:tc>
      </w:tr>
      <w:tr w14:paraId="3D652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7A7189A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53</w:t>
            </w:r>
          </w:p>
        </w:tc>
        <w:tc>
          <w:tcPr>
            <w:tcW w:w="0" w:type="auto"/>
            <w:vAlign w:val="center"/>
          </w:tcPr>
          <w:p w14:paraId="6119D09B">
            <w:pPr>
              <w:widowControl/>
              <w:textAlignment w:val="center"/>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kern w:val="0"/>
                <w:sz w:val="18"/>
                <w:szCs w:val="18"/>
              </w:rPr>
              <w:t>重点用能单位能源管理人员备案</w:t>
            </w:r>
          </w:p>
        </w:tc>
        <w:tc>
          <w:tcPr>
            <w:tcW w:w="0" w:type="auto"/>
            <w:vAlign w:val="center"/>
          </w:tcPr>
          <w:p w14:paraId="77B08BC9">
            <w:pPr>
              <w:spacing w:beforeLines="50" w:afterLines="50"/>
              <w:jc w:val="center"/>
              <w:rPr>
                <w:rFonts w:hint="eastAsia"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其他类</w:t>
            </w:r>
          </w:p>
        </w:tc>
        <w:tc>
          <w:tcPr>
            <w:tcW w:w="4256" w:type="dxa"/>
            <w:vAlign w:val="center"/>
          </w:tcPr>
          <w:p w14:paraId="1676139C">
            <w:pPr>
              <w:spacing w:beforeLines="50" w:afterLines="50" w:line="240" w:lineRule="auto"/>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【法律】《节约能源法》</w:t>
            </w:r>
          </w:p>
          <w:p w14:paraId="37D9F88D">
            <w:pPr>
              <w:spacing w:beforeLines="50" w:afterLines="50" w:line="240" w:lineRule="auto"/>
              <w:rPr>
                <w:rFonts w:ascii="宋体" w:hAnsi="宋体" w:eastAsia="宋体" w:cs="宋体"/>
                <w:snapToGrid w:val="0"/>
                <w:color w:val="auto"/>
                <w:kern w:val="0"/>
                <w:sz w:val="11"/>
                <w:szCs w:val="11"/>
                <w:lang w:val="en-US" w:eastAsia="en-US" w:bidi="ar-SA"/>
              </w:rPr>
            </w:pPr>
            <w:r>
              <w:rPr>
                <w:rFonts w:hint="eastAsia" w:ascii="仿宋_GB2312" w:hAnsi="仿宋_GB2312" w:eastAsia="仿宋_GB2312" w:cs="仿宋_GB2312"/>
                <w:color w:val="auto"/>
                <w:sz w:val="18"/>
                <w:szCs w:val="18"/>
              </w:rPr>
              <w:t xml:space="preserve"> 第五十五条 重点用能单位应当设立能源管理岗位，在具有节能专业知识、实际经验以及中级以上技术职称的人员中聘任能源管理负责人，并报管理节能工作的部门和有关部门备案。</w:t>
            </w:r>
          </w:p>
        </w:tc>
        <w:tc>
          <w:tcPr>
            <w:tcW w:w="1740" w:type="dxa"/>
            <w:vAlign w:val="center"/>
          </w:tcPr>
          <w:p w14:paraId="3242681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1ED93B3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top"/>
          </w:tcPr>
          <w:p w14:paraId="76E7AEF0">
            <w:pPr>
              <w:pStyle w:val="9"/>
              <w:rPr>
                <w:rFonts w:ascii="Arial" w:hAnsi="Arial" w:eastAsia="Arial" w:cs="Arial"/>
                <w:snapToGrid w:val="0"/>
                <w:color w:val="000000"/>
                <w:kern w:val="0"/>
                <w:sz w:val="21"/>
                <w:szCs w:val="21"/>
                <w:lang w:val="en-US" w:eastAsia="en-US" w:bidi="ar-SA"/>
              </w:rPr>
            </w:pPr>
          </w:p>
        </w:tc>
      </w:tr>
      <w:tr w14:paraId="6001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053B01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54</w:t>
            </w:r>
          </w:p>
        </w:tc>
        <w:tc>
          <w:tcPr>
            <w:tcW w:w="0" w:type="auto"/>
            <w:vAlign w:val="center"/>
          </w:tcPr>
          <w:p w14:paraId="723C8D76">
            <w:pPr>
              <w:widowControl/>
              <w:textAlignment w:val="center"/>
              <w:rPr>
                <w:rFonts w:hint="eastAsia" w:ascii="仿宋_GB2312" w:hAnsi="仿宋_GB2312" w:eastAsia="仿宋_GB2312" w:cs="仿宋_GB2312"/>
                <w:snapToGrid w:val="0"/>
                <w:color w:val="auto"/>
                <w:kern w:val="0"/>
                <w:sz w:val="18"/>
                <w:szCs w:val="18"/>
                <w:lang w:val="en-US" w:eastAsia="en-US" w:bidi="ar-SA"/>
              </w:rPr>
            </w:pPr>
            <w:r>
              <w:rPr>
                <w:rFonts w:hint="eastAsia" w:ascii="仿宋_GB2312" w:hAnsi="仿宋_GB2312" w:eastAsia="仿宋_GB2312" w:cs="仿宋_GB2312"/>
                <w:color w:val="auto"/>
                <w:kern w:val="0"/>
                <w:sz w:val="18"/>
                <w:szCs w:val="18"/>
              </w:rPr>
              <w:t>电力需求侧管理专项基金申请初审上报</w:t>
            </w:r>
          </w:p>
        </w:tc>
        <w:tc>
          <w:tcPr>
            <w:tcW w:w="0" w:type="auto"/>
            <w:vAlign w:val="center"/>
          </w:tcPr>
          <w:p w14:paraId="4064E67A">
            <w:pPr>
              <w:spacing w:beforeLines="50" w:afterLines="50"/>
              <w:jc w:val="center"/>
              <w:rPr>
                <w:rFonts w:hint="eastAsia" w:ascii="仿宋_GB2312" w:hAnsi="仿宋_GB2312" w:eastAsia="仿宋_GB2312" w:cs="仿宋_GB2312"/>
                <w:snapToGrid w:val="0"/>
                <w:color w:val="auto"/>
                <w:kern w:val="0"/>
                <w:sz w:val="24"/>
                <w:szCs w:val="21"/>
                <w:lang w:val="en-US" w:eastAsia="en-US" w:bidi="ar-SA"/>
              </w:rPr>
            </w:pPr>
            <w:r>
              <w:rPr>
                <w:rFonts w:hint="eastAsia" w:ascii="仿宋_GB2312" w:hAnsi="仿宋_GB2312" w:eastAsia="仿宋_GB2312" w:cs="仿宋_GB2312"/>
                <w:color w:val="auto"/>
                <w:sz w:val="24"/>
              </w:rPr>
              <w:t>其他类</w:t>
            </w:r>
          </w:p>
        </w:tc>
        <w:tc>
          <w:tcPr>
            <w:tcW w:w="4256" w:type="dxa"/>
            <w:vAlign w:val="center"/>
          </w:tcPr>
          <w:p w14:paraId="5BCB973F">
            <w:pPr>
              <w:spacing w:beforeLines="50" w:afterLines="50" w:line="240" w:lineRule="auto"/>
              <w:rPr>
                <w:rFonts w:ascii="宋体" w:hAnsi="宋体" w:eastAsia="宋体" w:cs="宋体"/>
                <w:snapToGrid w:val="0"/>
                <w:color w:val="auto"/>
                <w:kern w:val="0"/>
                <w:sz w:val="15"/>
                <w:szCs w:val="15"/>
                <w:lang w:val="en-US" w:eastAsia="en-US" w:bidi="ar-SA"/>
              </w:rPr>
            </w:pPr>
            <w:r>
              <w:rPr>
                <w:rFonts w:hint="eastAsia" w:ascii="仿宋_GB2312" w:hAnsi="仿宋_GB2312" w:eastAsia="仿宋_GB2312" w:cs="仿宋_GB2312"/>
                <w:color w:val="auto"/>
                <w:sz w:val="18"/>
                <w:szCs w:val="18"/>
              </w:rPr>
              <w:t>【地方性法规】《山西省电力需求侧管理专项基金管理办法》 第四条 县级以上人民政府电力运行主管部门负责本行政区域内的电力需求侧管理工作，县级以上人民政府其他有关部门在各自职责范围内负责相关工作。</w:t>
            </w:r>
          </w:p>
        </w:tc>
        <w:tc>
          <w:tcPr>
            <w:tcW w:w="1740" w:type="dxa"/>
            <w:vAlign w:val="center"/>
          </w:tcPr>
          <w:p w14:paraId="4BEC200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center"/>
          </w:tcPr>
          <w:p w14:paraId="2402FAB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高平市能源局</w:t>
            </w:r>
          </w:p>
        </w:tc>
        <w:tc>
          <w:tcPr>
            <w:tcW w:w="0" w:type="auto"/>
            <w:vAlign w:val="top"/>
          </w:tcPr>
          <w:p w14:paraId="6B8BF3BC">
            <w:pPr>
              <w:pStyle w:val="9"/>
              <w:rPr>
                <w:rFonts w:ascii="Arial" w:hAnsi="Arial" w:eastAsia="Arial" w:cs="Arial"/>
                <w:snapToGrid w:val="0"/>
                <w:color w:val="000000"/>
                <w:kern w:val="0"/>
                <w:sz w:val="21"/>
                <w:szCs w:val="21"/>
                <w:lang w:val="en-US" w:eastAsia="en-US" w:bidi="ar-SA"/>
              </w:rPr>
            </w:pPr>
          </w:p>
        </w:tc>
      </w:tr>
      <w:tr w14:paraId="35F4B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0" w:type="auto"/>
            <w:vAlign w:val="center"/>
          </w:tcPr>
          <w:p w14:paraId="656F1F1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p>
        </w:tc>
        <w:tc>
          <w:tcPr>
            <w:tcW w:w="0" w:type="auto"/>
            <w:vAlign w:val="center"/>
          </w:tcPr>
          <w:p w14:paraId="0D58855D">
            <w:pPr>
              <w:widowControl/>
              <w:textAlignment w:val="center"/>
              <w:rPr>
                <w:rFonts w:hint="eastAsia" w:ascii="仿宋_GB2312" w:hAnsi="仿宋_GB2312" w:eastAsia="仿宋_GB2312" w:cs="仿宋_GB2312"/>
                <w:snapToGrid w:val="0"/>
                <w:color w:val="auto"/>
                <w:kern w:val="0"/>
                <w:sz w:val="18"/>
                <w:szCs w:val="18"/>
                <w:lang w:val="en-US" w:eastAsia="en-US" w:bidi="ar-SA"/>
              </w:rPr>
            </w:pPr>
          </w:p>
        </w:tc>
        <w:tc>
          <w:tcPr>
            <w:tcW w:w="0" w:type="auto"/>
            <w:vAlign w:val="center"/>
          </w:tcPr>
          <w:p w14:paraId="54C93168">
            <w:pPr>
              <w:spacing w:beforeLines="50" w:afterLines="50"/>
              <w:jc w:val="center"/>
              <w:rPr>
                <w:rFonts w:hint="eastAsia" w:ascii="仿宋_GB2312" w:hAnsi="仿宋_GB2312" w:eastAsia="仿宋_GB2312" w:cs="仿宋_GB2312"/>
                <w:snapToGrid w:val="0"/>
                <w:color w:val="auto"/>
                <w:kern w:val="0"/>
                <w:sz w:val="24"/>
                <w:szCs w:val="21"/>
                <w:lang w:val="en-US" w:eastAsia="en-US" w:bidi="ar-SA"/>
              </w:rPr>
            </w:pPr>
          </w:p>
        </w:tc>
        <w:tc>
          <w:tcPr>
            <w:tcW w:w="4256" w:type="dxa"/>
            <w:vAlign w:val="center"/>
          </w:tcPr>
          <w:p w14:paraId="007F9DF2">
            <w:pPr>
              <w:spacing w:beforeLines="50" w:afterLines="50" w:line="240" w:lineRule="auto"/>
              <w:rPr>
                <w:rFonts w:ascii="宋体" w:hAnsi="宋体" w:eastAsia="宋体" w:cs="宋体"/>
                <w:snapToGrid w:val="0"/>
                <w:color w:val="auto"/>
                <w:kern w:val="0"/>
                <w:sz w:val="15"/>
                <w:szCs w:val="15"/>
                <w:lang w:val="en-US" w:eastAsia="en-US" w:bidi="ar-SA"/>
              </w:rPr>
            </w:pPr>
          </w:p>
        </w:tc>
        <w:tc>
          <w:tcPr>
            <w:tcW w:w="1740" w:type="dxa"/>
            <w:vAlign w:val="center"/>
          </w:tcPr>
          <w:p w14:paraId="691BA7E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p>
        </w:tc>
        <w:tc>
          <w:tcPr>
            <w:tcW w:w="0" w:type="auto"/>
            <w:vAlign w:val="center"/>
          </w:tcPr>
          <w:p w14:paraId="2896EAB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p>
        </w:tc>
        <w:tc>
          <w:tcPr>
            <w:tcW w:w="0" w:type="auto"/>
            <w:vAlign w:val="top"/>
          </w:tcPr>
          <w:p w14:paraId="29FFE552">
            <w:pPr>
              <w:pStyle w:val="9"/>
              <w:rPr>
                <w:rFonts w:ascii="Arial" w:hAnsi="Arial" w:eastAsia="Arial" w:cs="Arial"/>
                <w:snapToGrid w:val="0"/>
                <w:color w:val="000000"/>
                <w:kern w:val="0"/>
                <w:sz w:val="21"/>
                <w:szCs w:val="21"/>
                <w:lang w:val="en-US" w:eastAsia="en-US" w:bidi="ar-SA"/>
              </w:rPr>
            </w:pPr>
          </w:p>
        </w:tc>
      </w:tr>
    </w:tbl>
    <w:p w14:paraId="474E218E">
      <w:pPr>
        <w:spacing w:line="142" w:lineRule="exact"/>
      </w:pPr>
    </w:p>
    <w:p w14:paraId="1F351E4C">
      <w:pPr>
        <w:spacing w:line="142" w:lineRule="exact"/>
        <w:sectPr>
          <w:pgSz w:w="16820" w:h="11900"/>
          <w:pgMar w:top="1011" w:right="1025" w:bottom="400" w:left="994" w:header="0" w:footer="0" w:gutter="0"/>
          <w:pgNumType w:fmt="decimal"/>
          <w:cols w:equalWidth="0" w:num="1">
            <w:col w:w="14800"/>
          </w:cols>
        </w:sectPr>
      </w:pPr>
    </w:p>
    <w:p w14:paraId="1E8865E6">
      <w:pPr>
        <w:spacing w:line="14" w:lineRule="auto"/>
        <w:rPr>
          <w:rFonts w:ascii="Arial"/>
          <w:sz w:val="2"/>
        </w:rPr>
      </w:pPr>
      <w:bookmarkStart w:id="0" w:name="_GoBack"/>
      <w:bookmarkEnd w:id="0"/>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225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kODBjODA5ZTgzZjQzOGIzZmM5ZTAxYmEzOGMxNDUifQ=="/>
  </w:docVars>
  <w:rsids>
    <w:rsidRoot w:val="00000000"/>
    <w:rsid w:val="058D14E6"/>
    <w:rsid w:val="106D374C"/>
    <w:rsid w:val="10771710"/>
    <w:rsid w:val="117F6D54"/>
    <w:rsid w:val="121671E2"/>
    <w:rsid w:val="15406182"/>
    <w:rsid w:val="1B5337B3"/>
    <w:rsid w:val="22FA6DB5"/>
    <w:rsid w:val="25563ACA"/>
    <w:rsid w:val="27B901A6"/>
    <w:rsid w:val="31DB6D80"/>
    <w:rsid w:val="327C0F63"/>
    <w:rsid w:val="32F67202"/>
    <w:rsid w:val="34947FD4"/>
    <w:rsid w:val="39EA7BAC"/>
    <w:rsid w:val="43351360"/>
    <w:rsid w:val="4475773A"/>
    <w:rsid w:val="46C93056"/>
    <w:rsid w:val="48CA65BD"/>
    <w:rsid w:val="52CC6B7E"/>
    <w:rsid w:val="56BB789E"/>
    <w:rsid w:val="5D436932"/>
    <w:rsid w:val="67A51351"/>
    <w:rsid w:val="682C160E"/>
    <w:rsid w:val="6B6F25D2"/>
    <w:rsid w:val="71D030BE"/>
    <w:rsid w:val="7ECE0D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18526</Words>
  <Characters>18757</Characters>
  <TotalTime>5</TotalTime>
  <ScaleCrop>false</ScaleCrop>
  <LinksUpToDate>false</LinksUpToDate>
  <CharactersWithSpaces>18978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Administrator</cp:lastModifiedBy>
  <cp:lastPrinted>2024-06-05T07:10:00Z</cp:lastPrinted>
  <dcterms:modified xsi:type="dcterms:W3CDTF">2024-11-01T02:50:53Z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2052-12.1.0.18608</vt:lpwstr>
  </property>
  <property fmtid="{D5CDD505-2E9C-101B-9397-08002B2CF9AE}" pid="6" name="ICV">
    <vt:lpwstr>93CD7C0353014BD6985AAB66D75D8A8C_13</vt:lpwstr>
  </property>
</Properties>
</file>