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2BE282">
      <w:pPr>
        <w:widowControl w:val="0"/>
        <w:spacing w:before="156" w:beforeLines="50" w:after="156" w:afterLines="50" w:line="240" w:lineRule="atLeast"/>
        <w:ind w:firstLine="0" w:firstLineChars="0"/>
        <w:jc w:val="center"/>
        <w:rPr>
          <w:rFonts w:hint="eastAsia" w:ascii="Times New Roman" w:hAnsi="Times New Roman" w:eastAsia="仿宋" w:cs="Times New Roman"/>
          <w:b/>
          <w:kern w:val="2"/>
          <w:sz w:val="44"/>
          <w:szCs w:val="22"/>
          <w:lang w:val="en-US" w:eastAsia="zh-CN" w:bidi="ar-SA"/>
        </w:rPr>
      </w:pPr>
    </w:p>
    <w:p w14:paraId="40A56A1E">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18EB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5A95F5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bookmarkStart w:id="0" w:name="_Hlk97635069"/>
      <w:r>
        <w:rPr>
          <w:rFonts w:hint="eastAsia" w:ascii="Times New Roman" w:hAnsi="Times New Roman" w:eastAsia="仿宋" w:cs="Times New Roman"/>
          <w:b/>
          <w:kern w:val="2"/>
          <w:sz w:val="44"/>
          <w:szCs w:val="22"/>
          <w:lang w:val="en-US" w:eastAsia="zh-CN" w:bidi="ar-SA"/>
        </w:rPr>
        <w:t>高平市2025年土地征收成片开发方案</w:t>
      </w:r>
    </w:p>
    <w:bookmarkEnd w:id="0"/>
    <w:p w14:paraId="63EF8502">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4A9C1">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939D300">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E52DDB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D4C0F48">
      <w:pPr>
        <w:widowControl w:val="0"/>
        <w:spacing w:before="156" w:beforeLines="50" w:after="156" w:afterLines="50" w:line="240" w:lineRule="atLeast"/>
        <w:ind w:firstLine="0" w:firstLineChars="0"/>
        <w:jc w:val="center"/>
        <w:rPr>
          <w:rFonts w:hint="default"/>
          <w:sz w:val="21"/>
          <w:szCs w:val="21"/>
          <w:lang w:val="en-US" w:eastAsia="zh-CN"/>
        </w:rPr>
      </w:pPr>
    </w:p>
    <w:p w14:paraId="286915F7">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30BB3FD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081D1E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F66CBBC">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284DE03D">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18C3BF1B">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3061179">
      <w:pPr>
        <w:widowControl w:val="0"/>
        <w:spacing w:before="156" w:beforeLines="50" w:after="156" w:afterLines="50" w:line="240" w:lineRule="atLeast"/>
        <w:ind w:firstLine="0" w:firstLineChars="0"/>
        <w:jc w:val="center"/>
        <w:rPr>
          <w:rFonts w:hint="default" w:ascii="Times New Roman" w:hAnsi="Times New Roman" w:eastAsia="仿宋" w:cs="Times New Roman"/>
          <w:color w:val="auto"/>
          <w:kern w:val="2"/>
          <w:sz w:val="32"/>
          <w:szCs w:val="22"/>
          <w:lang w:val="en-US" w:eastAsia="zh-CN" w:bidi="ar-SA"/>
        </w:rPr>
      </w:pPr>
      <w:r>
        <w:rPr>
          <w:rFonts w:hint="eastAsia" w:ascii="Times New Roman" w:hAnsi="Times New Roman" w:eastAsia="仿宋" w:cs="Times New Roman"/>
          <w:kern w:val="2"/>
          <w:sz w:val="32"/>
          <w:szCs w:val="22"/>
          <w:lang w:val="en-US" w:eastAsia="zh-CN" w:bidi="ar-SA"/>
        </w:rPr>
        <w:t>高平市</w:t>
      </w:r>
      <w:r>
        <w:rPr>
          <w:rFonts w:hint="default" w:ascii="Times New Roman" w:hAnsi="Times New Roman" w:eastAsia="仿宋" w:cs="Times New Roman"/>
          <w:color w:val="auto"/>
          <w:kern w:val="2"/>
          <w:sz w:val="32"/>
          <w:szCs w:val="22"/>
          <w:lang w:val="en-US" w:eastAsia="zh-CN" w:bidi="ar-SA"/>
        </w:rPr>
        <w:t>人民政府</w:t>
      </w:r>
    </w:p>
    <w:p w14:paraId="44E7F57F">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pPr>
      <w:r>
        <w:rPr>
          <w:rFonts w:hint="default" w:ascii="Times New Roman" w:hAnsi="Times New Roman" w:eastAsia="仿宋" w:cs="Times New Roman"/>
          <w:kern w:val="2"/>
          <w:sz w:val="32"/>
          <w:szCs w:val="22"/>
          <w:lang w:val="en-US" w:eastAsia="zh-CN" w:bidi="ar-SA"/>
        </w:rPr>
        <w:t>202</w:t>
      </w:r>
      <w:r>
        <w:rPr>
          <w:rFonts w:hint="eastAsia" w:ascii="Times New Roman" w:hAnsi="Times New Roman" w:eastAsia="仿宋" w:cs="Times New Roman"/>
          <w:kern w:val="2"/>
          <w:sz w:val="32"/>
          <w:szCs w:val="22"/>
          <w:lang w:val="en-US" w:eastAsia="zh-CN" w:bidi="ar-SA"/>
        </w:rPr>
        <w:t>5</w:t>
      </w:r>
      <w:r>
        <w:rPr>
          <w:rFonts w:hint="default" w:ascii="Times New Roman" w:hAnsi="Times New Roman" w:eastAsia="仿宋" w:cs="Times New Roman"/>
          <w:kern w:val="2"/>
          <w:sz w:val="32"/>
          <w:szCs w:val="22"/>
          <w:lang w:val="en-US" w:eastAsia="zh-CN" w:bidi="ar-SA"/>
        </w:rPr>
        <w:t>年</w:t>
      </w:r>
      <w:r>
        <w:rPr>
          <w:rFonts w:hint="eastAsia" w:ascii="Times New Roman" w:hAnsi="Times New Roman" w:eastAsia="仿宋" w:cs="Times New Roman"/>
          <w:kern w:val="2"/>
          <w:sz w:val="32"/>
          <w:szCs w:val="22"/>
          <w:lang w:val="en-US" w:eastAsia="zh-CN" w:bidi="ar-SA"/>
        </w:rPr>
        <w:t>2</w:t>
      </w:r>
      <w:r>
        <w:rPr>
          <w:rFonts w:hint="default" w:ascii="Times New Roman" w:hAnsi="Times New Roman" w:eastAsia="仿宋" w:cs="Times New Roman"/>
          <w:kern w:val="2"/>
          <w:sz w:val="32"/>
          <w:szCs w:val="22"/>
          <w:lang w:val="en-US" w:eastAsia="zh-CN" w:bidi="ar-SA"/>
        </w:rPr>
        <w:t>月</w:t>
      </w:r>
      <w:bookmarkStart w:id="1" w:name="_Hlk96949269"/>
      <w:bookmarkEnd w:id="1"/>
    </w:p>
    <w:p w14:paraId="1B699F52">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37A55D">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01BCCAF">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eastAsiaTheme="minorEastAsia"/>
          <w:b w:val="0"/>
          <w:bCs w:val="0"/>
          <w:kern w:val="2"/>
          <w:sz w:val="21"/>
          <w:szCs w:val="21"/>
          <w:lang w:val="zh-CN" w:eastAsia="zh-CN" w:bidi="ar-SA"/>
        </w:rPr>
      </w:pPr>
      <w:r>
        <w:rPr>
          <w:rFonts w:hint="default" w:ascii="Times New Roman" w:hAnsi="Times New Roman" w:cs="Times New Roman" w:eastAsiaTheme="minorEastAsia"/>
          <w:b w:val="0"/>
          <w:bCs w:val="0"/>
          <w:kern w:val="2"/>
          <w:sz w:val="21"/>
          <w:szCs w:val="21"/>
          <w:lang w:val="zh-CN" w:eastAsia="zh-CN" w:bidi="ar-SA"/>
        </w:rPr>
        <w:drawing>
          <wp:inline distT="0" distB="0" distL="114300" distR="114300">
            <wp:extent cx="5326380" cy="3967480"/>
            <wp:effectExtent l="0" t="0" r="7620" b="13970"/>
            <wp:docPr id="88" name="图片 88" descr="城乡规划编制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城乡规划编制资质"/>
                    <pic:cNvPicPr>
                      <a:picLocks noChangeAspect="1"/>
                    </pic:cNvPicPr>
                  </pic:nvPicPr>
                  <pic:blipFill>
                    <a:blip r:embed="rId9"/>
                    <a:srcRect l="6803" t="5414" r="5734" b="2406"/>
                    <a:stretch>
                      <a:fillRect/>
                    </a:stretch>
                  </pic:blipFill>
                  <pic:spPr>
                    <a:xfrm>
                      <a:off x="0" y="0"/>
                      <a:ext cx="5326380" cy="3967480"/>
                    </a:xfrm>
                    <a:prstGeom prst="rect">
                      <a:avLst/>
                    </a:prstGeom>
                  </pic:spPr>
                </pic:pic>
              </a:graphicData>
            </a:graphic>
          </wp:inline>
        </w:drawing>
      </w:r>
    </w:p>
    <w:p w14:paraId="3E90E46C">
      <w:pPr>
        <w:pageBreakBefore w:val="0"/>
        <w:kinsoku/>
        <w:wordWrap/>
        <w:overflowPunct/>
        <w:topLinePunct w:val="0"/>
        <w:autoSpaceDE/>
        <w:autoSpaceDN/>
        <w:bidi w:val="0"/>
        <w:adjustRightInd/>
        <w:snapToGrid/>
        <w:spacing w:afterLines="100" w:line="360" w:lineRule="auto"/>
        <w:ind w:left="0" w:leftChars="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default" w:ascii="Times New Roman" w:hAnsi="Times New Roman" w:cs="Times New Roman" w:eastAsiaTheme="minorEastAsia"/>
          <w:b/>
          <w:bCs/>
          <w:sz w:val="32"/>
          <w:szCs w:val="32"/>
          <w:lang w:bidi="ar-SA"/>
        </w:rPr>
        <w:t>编制人员基本情况</w:t>
      </w:r>
    </w:p>
    <w:tbl>
      <w:tblPr>
        <w:tblStyle w:val="18"/>
        <w:tblW w:w="48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08" w:type="dxa"/>
          <w:left w:w="108" w:type="dxa"/>
          <w:bottom w:w="0" w:type="dxa"/>
          <w:right w:w="108" w:type="dxa"/>
        </w:tblCellMar>
      </w:tblPr>
      <w:tblGrid>
        <w:gridCol w:w="1975"/>
        <w:gridCol w:w="2140"/>
        <w:gridCol w:w="2140"/>
        <w:gridCol w:w="1940"/>
      </w:tblGrid>
      <w:tr w14:paraId="5F808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26D45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姓名</w:t>
            </w:r>
          </w:p>
        </w:tc>
        <w:tc>
          <w:tcPr>
            <w:tcW w:w="1305" w:type="pct"/>
            <w:noWrap w:val="0"/>
            <w:vAlign w:val="center"/>
          </w:tcPr>
          <w:p w14:paraId="5F344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职责</w:t>
            </w:r>
          </w:p>
        </w:tc>
        <w:tc>
          <w:tcPr>
            <w:tcW w:w="1305" w:type="pct"/>
            <w:noWrap w:val="0"/>
            <w:vAlign w:val="center"/>
          </w:tcPr>
          <w:p w14:paraId="2280D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职称</w:t>
            </w:r>
          </w:p>
        </w:tc>
        <w:tc>
          <w:tcPr>
            <w:tcW w:w="1183" w:type="pct"/>
            <w:noWrap w:val="0"/>
            <w:vAlign w:val="center"/>
          </w:tcPr>
          <w:p w14:paraId="0F9CF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签名</w:t>
            </w:r>
          </w:p>
        </w:tc>
      </w:tr>
      <w:tr w14:paraId="53A3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1CB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胡慧兵</w:t>
            </w:r>
          </w:p>
        </w:tc>
        <w:tc>
          <w:tcPr>
            <w:tcW w:w="1305" w:type="pct"/>
            <w:noWrap w:val="0"/>
            <w:vAlign w:val="center"/>
          </w:tcPr>
          <w:p w14:paraId="0B54D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项目负责人</w:t>
            </w:r>
          </w:p>
        </w:tc>
        <w:tc>
          <w:tcPr>
            <w:tcW w:w="1305" w:type="pct"/>
            <w:noWrap w:val="0"/>
            <w:vAlign w:val="center"/>
          </w:tcPr>
          <w:p w14:paraId="72203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val="en-US" w:eastAsia="zh-CN" w:bidi="ar-SA"/>
              </w:rPr>
              <w:t>注册城乡规划</w:t>
            </w:r>
            <w:r>
              <w:rPr>
                <w:rFonts w:hint="default" w:ascii="Times New Roman" w:hAnsi="Times New Roman" w:cs="Times New Roman" w:eastAsiaTheme="minorEastAsia"/>
                <w:b w:val="0"/>
                <w:bCs w:val="0"/>
                <w:sz w:val="24"/>
                <w:szCs w:val="24"/>
                <w:lang w:bidi="ar-SA"/>
              </w:rPr>
              <w:t>师</w:t>
            </w:r>
          </w:p>
        </w:tc>
        <w:tc>
          <w:tcPr>
            <w:tcW w:w="1183" w:type="pct"/>
            <w:noWrap w:val="0"/>
            <w:vAlign w:val="center"/>
          </w:tcPr>
          <w:p w14:paraId="70EFBA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7098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43A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徐嵩</w:t>
            </w:r>
          </w:p>
        </w:tc>
        <w:tc>
          <w:tcPr>
            <w:tcW w:w="1305" w:type="pct"/>
            <w:noWrap w:val="0"/>
            <w:vAlign w:val="center"/>
          </w:tcPr>
          <w:p w14:paraId="75A8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质检负责人</w:t>
            </w:r>
          </w:p>
        </w:tc>
        <w:tc>
          <w:tcPr>
            <w:tcW w:w="1305" w:type="pct"/>
            <w:noWrap w:val="0"/>
            <w:vAlign w:val="center"/>
          </w:tcPr>
          <w:p w14:paraId="25DFB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注册城乡规划师</w:t>
            </w:r>
          </w:p>
        </w:tc>
        <w:tc>
          <w:tcPr>
            <w:tcW w:w="1183" w:type="pct"/>
            <w:noWrap w:val="0"/>
            <w:vAlign w:val="center"/>
          </w:tcPr>
          <w:p w14:paraId="3EFA64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094AF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4AA97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杨银丝</w:t>
            </w:r>
          </w:p>
        </w:tc>
        <w:tc>
          <w:tcPr>
            <w:tcW w:w="1305" w:type="pct"/>
            <w:noWrap w:val="0"/>
            <w:vAlign w:val="center"/>
          </w:tcPr>
          <w:p w14:paraId="3806E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lang w:val="en-US" w:eastAsia="zh-CN" w:bidi="ar-SA"/>
              </w:rPr>
              <w:t>主要编制人</w:t>
            </w:r>
          </w:p>
        </w:tc>
        <w:tc>
          <w:tcPr>
            <w:tcW w:w="1305" w:type="pct"/>
            <w:noWrap w:val="0"/>
            <w:vAlign w:val="center"/>
          </w:tcPr>
          <w:p w14:paraId="26D68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eastAsia="zh-CN"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0973E2E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D4A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1DA8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highlight w:val="none"/>
                <w:lang w:val="en-US" w:eastAsia="zh-CN" w:bidi="ar-SA"/>
              </w:rPr>
              <w:t>王茜茜</w:t>
            </w:r>
          </w:p>
        </w:tc>
        <w:tc>
          <w:tcPr>
            <w:tcW w:w="1305" w:type="pct"/>
            <w:noWrap w:val="0"/>
            <w:vAlign w:val="center"/>
          </w:tcPr>
          <w:p w14:paraId="77DC7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审核负责人</w:t>
            </w:r>
          </w:p>
        </w:tc>
        <w:tc>
          <w:tcPr>
            <w:tcW w:w="1305" w:type="pct"/>
            <w:noWrap w:val="0"/>
            <w:vAlign w:val="center"/>
          </w:tcPr>
          <w:p w14:paraId="733C7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79BA52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FF0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1B80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杨俊玲</w:t>
            </w:r>
          </w:p>
        </w:tc>
        <w:tc>
          <w:tcPr>
            <w:tcW w:w="1305" w:type="pct"/>
            <w:noWrap w:val="0"/>
            <w:vAlign w:val="center"/>
          </w:tcPr>
          <w:p w14:paraId="30DE3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制图负责人</w:t>
            </w:r>
          </w:p>
        </w:tc>
        <w:tc>
          <w:tcPr>
            <w:tcW w:w="1305" w:type="pct"/>
            <w:noWrap w:val="0"/>
            <w:vAlign w:val="center"/>
          </w:tcPr>
          <w:p w14:paraId="0609E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2DF1B4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bl>
    <w:p w14:paraId="412EBE24">
      <w:pPr>
        <w:pageBreakBefore w:val="0"/>
        <w:widowControl w:val="0"/>
        <w:kinsoku/>
        <w:wordWrap/>
        <w:overflowPunct/>
        <w:topLinePunct w:val="0"/>
        <w:autoSpaceDE/>
        <w:autoSpaceDN/>
        <w:bidi w:val="0"/>
        <w:adjustRightInd/>
        <w:snapToGrid/>
        <w:spacing w:line="360" w:lineRule="auto"/>
        <w:ind w:left="420" w:leftChars="200" w:firstLine="420" w:firstLineChars="200"/>
        <w:jc w:val="both"/>
        <w:textAlignment w:val="auto"/>
        <w:outlineLvl w:val="9"/>
        <w:rPr>
          <w:rFonts w:hint="default" w:ascii="Times New Roman" w:hAnsi="Times New Roman" w:cs="Times New Roman" w:eastAsiaTheme="minorEastAsia"/>
          <w:b w:val="0"/>
          <w:bCs w:val="0"/>
          <w:color w:val="000000"/>
          <w:kern w:val="2"/>
          <w:sz w:val="21"/>
          <w:szCs w:val="21"/>
          <w:lang w:val="zh-CN" w:eastAsia="zh-CN" w:bidi="ar-SA"/>
        </w:rPr>
      </w:pPr>
    </w:p>
    <w:p w14:paraId="5DA14A83">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143B69C">
      <w:pPr>
        <w:widowControl w:val="0"/>
        <w:spacing w:before="156" w:beforeLines="50" w:after="156" w:afterLines="50" w:line="240" w:lineRule="auto"/>
        <w:ind w:firstLine="0" w:firstLineChars="0"/>
        <w:jc w:val="center"/>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目录</w:t>
      </w:r>
    </w:p>
    <w:p w14:paraId="3B18DFED">
      <w:pPr>
        <w:pStyle w:val="14"/>
        <w:tabs>
          <w:tab w:val="right" w:leader="dot" w:pos="8306"/>
        </w:tabs>
        <w:rPr>
          <w:rFonts w:hint="eastAsia" w:ascii="仿宋" w:hAnsi="仿宋" w:eastAsia="仿宋" w:cs="仿宋"/>
          <w:sz w:val="24"/>
          <w:szCs w:val="24"/>
        </w:rPr>
      </w:pPr>
      <w:r>
        <w:rPr>
          <w:rFonts w:hint="eastAsia" w:ascii="仿宋" w:hAnsi="仿宋" w:eastAsia="仿宋" w:cs="仿宋"/>
          <w:b w:val="0"/>
          <w:bCs/>
          <w:kern w:val="2"/>
          <w:sz w:val="24"/>
          <w:szCs w:val="24"/>
          <w:highlight w:val="none"/>
          <w:lang w:val="zh-CN" w:eastAsia="zh-CN" w:bidi="ar-SA"/>
        </w:rPr>
        <w:fldChar w:fldCharType="begin"/>
      </w:r>
      <w:r>
        <w:rPr>
          <w:rFonts w:hint="eastAsia" w:ascii="仿宋" w:hAnsi="仿宋" w:eastAsia="仿宋" w:cs="仿宋"/>
          <w:b w:val="0"/>
          <w:bCs/>
          <w:kern w:val="2"/>
          <w:sz w:val="24"/>
          <w:szCs w:val="24"/>
          <w:highlight w:val="none"/>
          <w:lang w:val="zh-CN" w:eastAsia="zh-CN" w:bidi="ar-SA"/>
        </w:rPr>
        <w:instrText xml:space="preserve"> TOC \o "1-2" \h \z \u </w:instrText>
      </w:r>
      <w:r>
        <w:rPr>
          <w:rFonts w:hint="eastAsia" w:ascii="仿宋" w:hAnsi="仿宋" w:eastAsia="仿宋" w:cs="仿宋"/>
          <w:b w:val="0"/>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_Toc9753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1.</w:t>
      </w:r>
      <w:r>
        <w:rPr>
          <w:rFonts w:hint="eastAsia" w:ascii="仿宋" w:hAnsi="仿宋" w:eastAsia="仿宋" w:cs="仿宋"/>
          <w:sz w:val="24"/>
          <w:szCs w:val="24"/>
          <w:lang w:val="en-US" w:eastAsia="zh-CN"/>
        </w:rPr>
        <w:t>概述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_Toc9753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C00985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_Toc12800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1.1.</w:t>
      </w:r>
      <w:r>
        <w:rPr>
          <w:rFonts w:hint="eastAsia" w:ascii="仿宋" w:hAnsi="仿宋" w:eastAsia="仿宋" w:cs="仿宋"/>
          <w:sz w:val="24"/>
          <w:szCs w:val="24"/>
          <w:lang w:val="en-US" w:eastAsia="zh-CN"/>
        </w:rPr>
        <w:t>方案的背景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781C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_Toc25384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1.2.</w:t>
      </w:r>
      <w:r>
        <w:rPr>
          <w:rFonts w:hint="eastAsia" w:ascii="仿宋" w:hAnsi="仿宋" w:eastAsia="仿宋" w:cs="仿宋"/>
          <w:sz w:val="24"/>
          <w:szCs w:val="24"/>
          <w:highlight w:val="none"/>
          <w:lang w:val="en-US" w:eastAsia="zh-CN"/>
        </w:rPr>
        <w:t>编制原则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_Toc25384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D71EA3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_Toc8006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1.3.</w:t>
      </w:r>
      <w:r>
        <w:rPr>
          <w:rFonts w:hint="eastAsia" w:ascii="仿宋" w:hAnsi="仿宋" w:eastAsia="仿宋" w:cs="仿宋"/>
          <w:sz w:val="24"/>
          <w:szCs w:val="24"/>
          <w:lang w:val="en-US" w:eastAsia="zh-CN"/>
        </w:rPr>
        <w:t>方案的依据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_Toc8006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9570B7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_Toc20889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1.4.</w:t>
      </w:r>
      <w:r>
        <w:rPr>
          <w:rFonts w:hint="eastAsia" w:ascii="仿宋" w:hAnsi="仿宋" w:eastAsia="仿宋" w:cs="仿宋"/>
          <w:sz w:val="24"/>
          <w:szCs w:val="24"/>
          <w:lang w:val="en-US" w:eastAsia="zh-CN"/>
        </w:rPr>
        <w:t>实施时限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_Toc20889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F5B90D1">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_Toc17994 </w:instrText>
      </w:r>
      <w:r>
        <w:rPr>
          <w:rFonts w:hint="eastAsia" w:ascii="仿宋" w:hAnsi="仿宋" w:eastAsia="仿宋" w:cs="仿宋"/>
          <w:bCs/>
          <w:kern w:val="2"/>
          <w:sz w:val="24"/>
          <w:szCs w:val="24"/>
          <w:highlight w:val="none"/>
          <w:lang w:val="zh-CN" w:eastAsia="zh-CN" w:bidi="ar-SA"/>
        </w:rPr>
        <w:fldChar w:fldCharType="separate"/>
      </w:r>
      <w:r>
        <w:rPr>
          <w:rStyle w:val="34"/>
          <w:rFonts w:hint="eastAsia" w:ascii="仿宋" w:hAnsi="仿宋" w:eastAsia="仿宋" w:cs="仿宋"/>
          <w:sz w:val="24"/>
          <w:szCs w:val="24"/>
          <w:lang w:val="en-US" w:eastAsia="zh-CN"/>
        </w:rPr>
        <w:t>2.区域基本情况</w:t>
      </w:r>
      <w:r>
        <w:rPr>
          <w:rStyle w:val="34"/>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_Toc17994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5671D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_Toc17958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2.1.</w:t>
      </w:r>
      <w:r>
        <w:rPr>
          <w:rFonts w:hint="eastAsia" w:ascii="仿宋" w:hAnsi="仿宋" w:eastAsia="仿宋" w:cs="仿宋"/>
          <w:sz w:val="24"/>
          <w:szCs w:val="24"/>
          <w:lang w:val="en-US" w:eastAsia="zh-CN"/>
        </w:rPr>
        <w:t>高平市成片开发总体情况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_Toc17958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833908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_Toc27130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2.2</w:t>
      </w:r>
      <w:r>
        <w:rPr>
          <w:rFonts w:hint="eastAsia" w:ascii="仿宋" w:hAnsi="仿宋" w:eastAsia="仿宋" w:cs="仿宋"/>
          <w:bCs/>
          <w:kern w:val="2"/>
          <w:sz w:val="24"/>
          <w:szCs w:val="24"/>
          <w:highlight w:val="none"/>
          <w:lang w:val="en-US" w:eastAsia="zh-CN"/>
        </w:rPr>
        <w:t>.</w:t>
      </w:r>
      <w:r>
        <w:rPr>
          <w:rFonts w:hint="eastAsia" w:ascii="仿宋" w:hAnsi="仿宋" w:eastAsia="仿宋" w:cs="仿宋"/>
          <w:sz w:val="24"/>
          <w:szCs w:val="24"/>
          <w:highlight w:val="none"/>
          <w:lang w:val="en-US" w:eastAsia="zh-CN"/>
        </w:rPr>
        <w:t>片区位置、面积和范围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_Toc27130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D8AEEC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_Toc7351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2.3.</w:t>
      </w:r>
      <w:r>
        <w:rPr>
          <w:rFonts w:hint="eastAsia" w:ascii="仿宋" w:hAnsi="仿宋" w:eastAsia="仿宋" w:cs="仿宋"/>
          <w:sz w:val="24"/>
          <w:szCs w:val="24"/>
          <w:highlight w:val="none"/>
        </w:rPr>
        <w:t>土地利用现状情况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_Toc7351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3C93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_Toc20612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2.4.</w:t>
      </w:r>
      <w:r>
        <w:rPr>
          <w:rFonts w:hint="eastAsia" w:ascii="仿宋" w:hAnsi="仿宋" w:eastAsia="仿宋" w:cs="仿宋"/>
          <w:sz w:val="24"/>
          <w:szCs w:val="24"/>
        </w:rPr>
        <w:t>土地权属情况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A65058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_Toc7429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2.5.</w:t>
      </w:r>
      <w:r>
        <w:rPr>
          <w:rFonts w:hint="eastAsia" w:ascii="仿宋" w:hAnsi="仿宋" w:eastAsia="仿宋" w:cs="仿宋"/>
          <w:sz w:val="24"/>
          <w:szCs w:val="24"/>
          <w:lang w:val="en-US" w:eastAsia="zh-CN"/>
        </w:rPr>
        <w:t>基础设施条件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_Toc7429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8C37E4A">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_Toc23542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3.</w:t>
      </w:r>
      <w:r>
        <w:rPr>
          <w:rFonts w:hint="eastAsia" w:ascii="仿宋" w:hAnsi="仿宋" w:eastAsia="仿宋" w:cs="仿宋"/>
          <w:sz w:val="24"/>
          <w:szCs w:val="24"/>
        </w:rPr>
        <w:t>方案的</w:t>
      </w:r>
      <w:r>
        <w:rPr>
          <w:rFonts w:hint="eastAsia" w:ascii="仿宋" w:hAnsi="仿宋" w:eastAsia="仿宋" w:cs="仿宋"/>
          <w:sz w:val="24"/>
          <w:szCs w:val="24"/>
          <w:lang w:val="en-US" w:eastAsia="zh-CN"/>
        </w:rPr>
        <w:t>必要性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_Toc23542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60168F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_Toc23862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3.1.</w:t>
      </w:r>
      <w:r>
        <w:rPr>
          <w:rFonts w:hint="eastAsia" w:ascii="仿宋" w:hAnsi="仿宋" w:eastAsia="仿宋" w:cs="仿宋"/>
          <w:sz w:val="24"/>
          <w:szCs w:val="24"/>
        </w:rPr>
        <w:t>进一步优化空间布局、促进国土空间规划的实施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_Toc23862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ECE444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_Toc23787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3.2.</w:t>
      </w:r>
      <w:r>
        <w:rPr>
          <w:rFonts w:hint="eastAsia" w:ascii="仿宋" w:hAnsi="仿宋" w:eastAsia="仿宋" w:cs="仿宋"/>
          <w:sz w:val="24"/>
          <w:szCs w:val="24"/>
        </w:rPr>
        <w:t>切实保护耕地，集约节约利用土地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_Toc23787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04F727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_Toc23133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3.3.</w:t>
      </w:r>
      <w:r>
        <w:rPr>
          <w:rFonts w:hint="eastAsia" w:ascii="仿宋" w:hAnsi="仿宋" w:eastAsia="仿宋" w:cs="仿宋"/>
          <w:sz w:val="24"/>
          <w:szCs w:val="24"/>
          <w:lang w:val="en-US" w:eastAsia="zh-CN"/>
        </w:rPr>
        <w:t>优化产业结构，推动项目建设落地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_Toc23133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3241C3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_Toc6020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3.4.</w:t>
      </w:r>
      <w:r>
        <w:rPr>
          <w:rFonts w:hint="eastAsia" w:ascii="仿宋" w:hAnsi="仿宋" w:eastAsia="仿宋" w:cs="仿宋"/>
          <w:sz w:val="24"/>
          <w:szCs w:val="24"/>
        </w:rPr>
        <w:t>维护被征地农民的权益，多渠道增加农民收益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_Toc6020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E7EF1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_Toc32266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4.</w:t>
      </w:r>
      <w:r>
        <w:rPr>
          <w:rFonts w:hint="eastAsia" w:ascii="仿宋" w:hAnsi="仿宋" w:eastAsia="仿宋" w:cs="仿宋"/>
          <w:sz w:val="24"/>
          <w:szCs w:val="24"/>
        </w:rPr>
        <w:t>主要用途和实现的功能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3E201D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_Toc30011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4.1.</w:t>
      </w:r>
      <w:r>
        <w:rPr>
          <w:rFonts w:hint="eastAsia" w:ascii="仿宋" w:hAnsi="仿宋" w:eastAsia="仿宋" w:cs="仿宋"/>
          <w:sz w:val="24"/>
          <w:szCs w:val="24"/>
        </w:rPr>
        <w:t>主要用途</w:t>
      </w:r>
      <w:r>
        <w:rPr>
          <w:rFonts w:hint="eastAsia" w:ascii="仿宋" w:hAnsi="仿宋" w:eastAsia="仿宋" w:cs="仿宋"/>
          <w:sz w:val="24"/>
          <w:szCs w:val="24"/>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_Toc30011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FB0806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_Toc16715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4.2.</w:t>
      </w:r>
      <w:r>
        <w:rPr>
          <w:rFonts w:hint="eastAsia" w:ascii="仿宋" w:hAnsi="仿宋" w:eastAsia="仿宋" w:cs="仿宋"/>
          <w:sz w:val="24"/>
          <w:szCs w:val="24"/>
          <w:highlight w:val="none"/>
          <w:lang w:val="en-US" w:eastAsia="zh-CN"/>
        </w:rPr>
        <w:t>各片区</w:t>
      </w:r>
      <w:r>
        <w:rPr>
          <w:rFonts w:hint="eastAsia" w:ascii="仿宋" w:hAnsi="仿宋" w:eastAsia="仿宋" w:cs="仿宋"/>
          <w:sz w:val="24"/>
          <w:szCs w:val="24"/>
          <w:highlight w:val="none"/>
        </w:rPr>
        <w:t>主要用途</w:t>
      </w:r>
      <w:r>
        <w:rPr>
          <w:rFonts w:hint="eastAsia" w:ascii="仿宋" w:hAnsi="仿宋" w:eastAsia="仿宋" w:cs="仿宋"/>
          <w:sz w:val="24"/>
          <w:szCs w:val="24"/>
          <w:highlight w:val="none"/>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_Toc16715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F1D3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_Toc29277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5.</w:t>
      </w:r>
      <w:r>
        <w:rPr>
          <w:rFonts w:hint="eastAsia" w:ascii="仿宋" w:hAnsi="仿宋" w:eastAsia="仿宋" w:cs="仿宋"/>
          <w:sz w:val="24"/>
          <w:szCs w:val="24"/>
          <w:lang w:val="en-US" w:eastAsia="zh-CN"/>
        </w:rPr>
        <w:t>拟</w:t>
      </w:r>
      <w:r>
        <w:rPr>
          <w:rFonts w:hint="eastAsia" w:ascii="仿宋" w:hAnsi="仿宋" w:eastAsia="仿宋" w:cs="仿宋"/>
          <w:sz w:val="24"/>
          <w:szCs w:val="24"/>
        </w:rPr>
        <w:t>安排的建设项目、开发时序和年度实施计划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_Toc29277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98E1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_Toc24786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5.1.</w:t>
      </w:r>
      <w:r>
        <w:rPr>
          <w:rFonts w:hint="eastAsia" w:ascii="仿宋" w:hAnsi="仿宋" w:eastAsia="仿宋" w:cs="仿宋"/>
          <w:sz w:val="24"/>
          <w:szCs w:val="24"/>
          <w:lang w:val="en-US" w:eastAsia="zh-CN"/>
        </w:rPr>
        <w:t>拟安排的建设项目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_Toc24786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EDCC24D">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5.2.</w:t>
      </w:r>
      <w:r>
        <w:rPr>
          <w:rFonts w:hint="eastAsia" w:ascii="仿宋" w:hAnsi="仿宋" w:eastAsia="仿宋" w:cs="仿宋"/>
          <w:sz w:val="24"/>
          <w:szCs w:val="24"/>
          <w:lang w:val="en-US" w:eastAsia="zh-CN"/>
        </w:rPr>
        <w:t>开发时序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D5D2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_Toc29461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5.3.</w:t>
      </w:r>
      <w:r>
        <w:rPr>
          <w:rFonts w:hint="eastAsia" w:ascii="仿宋" w:hAnsi="仿宋" w:eastAsia="仿宋" w:cs="仿宋"/>
          <w:sz w:val="24"/>
          <w:szCs w:val="24"/>
          <w:lang w:val="en-US" w:eastAsia="zh-CN"/>
        </w:rPr>
        <w:t>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_Toc29461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199BF7">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_Toc23746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6.</w:t>
      </w:r>
      <w:r>
        <w:rPr>
          <w:rFonts w:hint="eastAsia" w:ascii="仿宋" w:hAnsi="仿宋" w:eastAsia="仿宋" w:cs="仿宋"/>
          <w:sz w:val="24"/>
          <w:szCs w:val="24"/>
        </w:rPr>
        <w:t>合规性分析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_Toc23746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193991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_Toc30883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6.1.</w:t>
      </w:r>
      <w:r>
        <w:rPr>
          <w:rFonts w:hint="eastAsia" w:ascii="仿宋" w:hAnsi="仿宋" w:eastAsia="仿宋" w:cs="仿宋"/>
          <w:sz w:val="24"/>
          <w:szCs w:val="24"/>
          <w:lang w:val="en-US" w:eastAsia="zh-CN"/>
        </w:rPr>
        <w:t>与</w:t>
      </w:r>
      <w:r>
        <w:rPr>
          <w:rFonts w:hint="eastAsia" w:ascii="仿宋" w:hAnsi="仿宋" w:eastAsia="仿宋" w:cs="仿宋"/>
          <w:sz w:val="24"/>
          <w:szCs w:val="24"/>
        </w:rPr>
        <w:t>国土空间规划</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_Toc30883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56A1FDC">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_Toc15606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6.2.</w:t>
      </w:r>
      <w:r>
        <w:rPr>
          <w:rFonts w:hint="eastAsia" w:ascii="仿宋" w:hAnsi="仿宋" w:eastAsia="仿宋" w:cs="仿宋"/>
          <w:sz w:val="24"/>
          <w:szCs w:val="24"/>
          <w:lang w:val="en-US" w:eastAsia="zh-CN"/>
        </w:rPr>
        <w:t>与</w:t>
      </w:r>
      <w:r>
        <w:rPr>
          <w:rFonts w:hint="eastAsia" w:ascii="仿宋" w:hAnsi="仿宋" w:eastAsia="仿宋" w:cs="仿宋"/>
          <w:sz w:val="24"/>
          <w:szCs w:val="24"/>
        </w:rPr>
        <w:t>国民经济和社会发展规划</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年度计划符合性分析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_Toc15606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19BB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6.3.</w:t>
      </w:r>
      <w:r>
        <w:rPr>
          <w:rFonts w:hint="eastAsia" w:ascii="仿宋" w:hAnsi="仿宋" w:eastAsia="仿宋" w:cs="仿宋"/>
          <w:sz w:val="24"/>
          <w:szCs w:val="24"/>
          <w:lang w:val="en-US" w:eastAsia="zh-CN"/>
        </w:rPr>
        <w:t>与</w:t>
      </w:r>
      <w:r>
        <w:rPr>
          <w:rFonts w:hint="eastAsia" w:ascii="仿宋" w:hAnsi="仿宋" w:eastAsia="仿宋" w:cs="仿宋"/>
          <w:sz w:val="24"/>
          <w:szCs w:val="24"/>
        </w:rPr>
        <w:t>生态环境</w:t>
      </w:r>
      <w:r>
        <w:rPr>
          <w:rFonts w:hint="eastAsia" w:ascii="仿宋" w:hAnsi="仿宋" w:eastAsia="仿宋" w:cs="仿宋"/>
          <w:sz w:val="24"/>
          <w:szCs w:val="24"/>
          <w:lang w:eastAsia="zh-CN"/>
        </w:rPr>
        <w:t>“</w:t>
      </w:r>
      <w:r>
        <w:rPr>
          <w:rFonts w:hint="eastAsia" w:ascii="仿宋" w:hAnsi="仿宋" w:eastAsia="仿宋" w:cs="仿宋"/>
          <w:sz w:val="24"/>
          <w:szCs w:val="24"/>
        </w:rPr>
        <w:t>三线一单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E4A64F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_Toc16072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6.4.</w:t>
      </w:r>
      <w:r>
        <w:rPr>
          <w:rFonts w:hint="eastAsia" w:ascii="仿宋" w:hAnsi="仿宋" w:eastAsia="仿宋" w:cs="仿宋"/>
          <w:sz w:val="24"/>
          <w:szCs w:val="24"/>
        </w:rPr>
        <w:t>公益性用地比例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_Toc16072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15139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6.5.</w:t>
      </w:r>
      <w:r>
        <w:rPr>
          <w:rFonts w:hint="eastAsia" w:ascii="仿宋" w:hAnsi="仿宋" w:eastAsia="仿宋" w:cs="仿宋"/>
          <w:sz w:val="24"/>
          <w:szCs w:val="24"/>
          <w:lang w:val="en-US" w:eastAsia="zh-CN"/>
        </w:rPr>
        <w:t>永久基本农田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6AEE1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_Toc13219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6.6.</w:t>
      </w:r>
      <w:r>
        <w:rPr>
          <w:rFonts w:hint="eastAsia" w:ascii="仿宋" w:hAnsi="仿宋" w:eastAsia="仿宋" w:cs="仿宋"/>
          <w:sz w:val="24"/>
          <w:szCs w:val="24"/>
          <w:lang w:val="en-US" w:eastAsia="zh-CN"/>
        </w:rPr>
        <w:t>批而未供和闲置土地情况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_Toc13219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0B2FA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_Toc32695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6.7.</w:t>
      </w:r>
      <w:r>
        <w:rPr>
          <w:rFonts w:hint="eastAsia" w:ascii="仿宋" w:hAnsi="仿宋" w:eastAsia="仿宋" w:cs="仿宋"/>
          <w:sz w:val="24"/>
          <w:szCs w:val="24"/>
          <w:highlight w:val="none"/>
          <w:lang w:val="en-US" w:eastAsia="zh-CN"/>
        </w:rPr>
        <w:t>开发区</w:t>
      </w:r>
      <w:r>
        <w:rPr>
          <w:rFonts w:hint="eastAsia" w:ascii="仿宋" w:hAnsi="仿宋" w:eastAsia="仿宋" w:cs="仿宋"/>
          <w:sz w:val="24"/>
          <w:szCs w:val="24"/>
          <w:highlight w:val="none"/>
        </w:rPr>
        <w:t>土地利用效率情况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_Toc32695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25226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_Toc16372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6.8.</w:t>
      </w:r>
      <w:r>
        <w:rPr>
          <w:rFonts w:hint="eastAsia" w:ascii="仿宋" w:hAnsi="仿宋" w:eastAsia="仿宋" w:cs="仿宋"/>
          <w:sz w:val="24"/>
          <w:szCs w:val="24"/>
          <w:lang w:val="en-US" w:eastAsia="zh-CN"/>
        </w:rPr>
        <w:t>已批准土地征收成片开发方案实施情况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_Toc16372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F8CA30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_Toc31813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7.</w:t>
      </w:r>
      <w:r>
        <w:rPr>
          <w:rFonts w:hint="eastAsia" w:ascii="仿宋" w:hAnsi="仿宋" w:eastAsia="仿宋" w:cs="仿宋"/>
          <w:sz w:val="24"/>
          <w:szCs w:val="24"/>
          <w:lang w:val="en-US" w:eastAsia="zh-CN"/>
        </w:rPr>
        <w:t>效益评估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_Toc31813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AB52D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_Toc20711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7.1.</w:t>
      </w:r>
      <w:r>
        <w:rPr>
          <w:rFonts w:hint="eastAsia" w:ascii="仿宋" w:hAnsi="仿宋" w:eastAsia="仿宋" w:cs="仿宋"/>
          <w:sz w:val="24"/>
          <w:szCs w:val="24"/>
          <w:lang w:val="en-US" w:eastAsia="zh-CN"/>
        </w:rPr>
        <w:t>土地利用效益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_Toc20711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406ECA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_Toc29741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7.2.</w:t>
      </w:r>
      <w:r>
        <w:rPr>
          <w:rFonts w:hint="eastAsia" w:ascii="仿宋" w:hAnsi="仿宋" w:eastAsia="仿宋" w:cs="仿宋"/>
          <w:sz w:val="24"/>
          <w:szCs w:val="24"/>
          <w:lang w:val="en-US" w:eastAsia="zh-CN"/>
        </w:rPr>
        <w:t>经济效益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_Toc29741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89F871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_Toc11527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7.3.</w:t>
      </w:r>
      <w:r>
        <w:rPr>
          <w:rFonts w:hint="eastAsia" w:ascii="仿宋" w:hAnsi="仿宋" w:eastAsia="仿宋" w:cs="仿宋"/>
          <w:sz w:val="24"/>
          <w:szCs w:val="24"/>
          <w:lang w:val="en-US" w:eastAsia="zh-CN"/>
        </w:rPr>
        <w:t>社会效益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_Toc11527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676A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_Toc18403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7.4.</w:t>
      </w:r>
      <w:r>
        <w:rPr>
          <w:rFonts w:hint="eastAsia" w:ascii="仿宋" w:hAnsi="仿宋" w:eastAsia="仿宋" w:cs="仿宋"/>
          <w:sz w:val="24"/>
          <w:szCs w:val="24"/>
          <w:lang w:val="en-US" w:eastAsia="zh-CN"/>
        </w:rPr>
        <w:t>生态效益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_Toc18403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CB712E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_Toc24257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8.</w:t>
      </w:r>
      <w:r>
        <w:rPr>
          <w:rFonts w:hint="eastAsia" w:ascii="仿宋" w:hAnsi="仿宋" w:eastAsia="仿宋" w:cs="仿宋"/>
          <w:sz w:val="24"/>
          <w:szCs w:val="24"/>
          <w:lang w:val="en-US" w:eastAsia="zh-CN"/>
        </w:rPr>
        <w:t>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_Toc24257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577D71">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_Toc31939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8.1.</w:t>
      </w:r>
      <w:r>
        <w:rPr>
          <w:rFonts w:hint="eastAsia" w:ascii="仿宋" w:hAnsi="仿宋" w:eastAsia="仿宋" w:cs="仿宋"/>
          <w:sz w:val="24"/>
          <w:szCs w:val="24"/>
          <w:lang w:val="en-US" w:eastAsia="zh-CN"/>
        </w:rPr>
        <w:t>加强政策宣传，营造良好社会舆论氛围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_Toc31939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C70B7B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_Toc28699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8.2.</w:t>
      </w:r>
      <w:r>
        <w:rPr>
          <w:rFonts w:hint="eastAsia" w:ascii="仿宋" w:hAnsi="仿宋" w:eastAsia="仿宋" w:cs="仿宋"/>
          <w:sz w:val="24"/>
          <w:szCs w:val="24"/>
          <w:lang w:val="en-US" w:eastAsia="zh-CN"/>
        </w:rPr>
        <w:t>严格履行程序，确保征收程序依法合规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_Toc28699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90505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_Toc3690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8.3.</w:t>
      </w:r>
      <w:r>
        <w:rPr>
          <w:rFonts w:hint="eastAsia" w:ascii="仿宋" w:hAnsi="仿宋" w:eastAsia="仿宋" w:cs="仿宋"/>
          <w:sz w:val="24"/>
          <w:szCs w:val="24"/>
          <w:lang w:val="en-US" w:eastAsia="zh-CN"/>
        </w:rPr>
        <w:t>落实土地补偿方案，切实维护失地农民权益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_Toc3690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2E4101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_Toc26919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8.4.</w:t>
      </w:r>
      <w:r>
        <w:rPr>
          <w:rFonts w:hint="eastAsia" w:ascii="仿宋" w:hAnsi="仿宋" w:eastAsia="仿宋" w:cs="仿宋"/>
          <w:sz w:val="24"/>
          <w:szCs w:val="24"/>
          <w:lang w:val="en-US" w:eastAsia="zh-CN"/>
        </w:rPr>
        <w:t>加强风险预警，做好土地征收维稳工作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_Toc26919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9ECDED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_Toc7143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8.5.</w:t>
      </w:r>
      <w:r>
        <w:rPr>
          <w:rFonts w:hint="eastAsia" w:ascii="仿宋" w:hAnsi="仿宋" w:eastAsia="仿宋" w:cs="仿宋"/>
          <w:sz w:val="24"/>
          <w:szCs w:val="24"/>
          <w:lang w:val="en-US" w:eastAsia="zh-CN"/>
        </w:rPr>
        <w:t>严格保护耕地，落实耕地占补平衡责任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_Toc7143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570308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_Toc20207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8.6.</w:t>
      </w:r>
      <w:r>
        <w:rPr>
          <w:rFonts w:hint="eastAsia" w:ascii="仿宋" w:hAnsi="仿宋" w:eastAsia="仿宋" w:cs="仿宋"/>
          <w:sz w:val="24"/>
          <w:szCs w:val="24"/>
          <w:lang w:val="en-US" w:eastAsia="zh-CN"/>
        </w:rPr>
        <w:t>严格保护和合理利用林地，促进林业发展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_Toc20207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82F3BA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_Toc22377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8.7.</w:t>
      </w:r>
      <w:r>
        <w:rPr>
          <w:rFonts w:hint="eastAsia" w:ascii="仿宋" w:hAnsi="仿宋" w:eastAsia="仿宋" w:cs="仿宋"/>
          <w:sz w:val="24"/>
          <w:szCs w:val="24"/>
          <w:lang w:val="en-US" w:eastAsia="zh-CN"/>
        </w:rPr>
        <w:t>创新供地方式，提高成片开发用地效益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_Toc22377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7ED80C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_Toc3831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8.8.</w:t>
      </w:r>
      <w:r>
        <w:rPr>
          <w:rFonts w:hint="eastAsia" w:ascii="仿宋" w:hAnsi="仿宋" w:eastAsia="仿宋" w:cs="仿宋"/>
          <w:sz w:val="24"/>
          <w:szCs w:val="24"/>
          <w:lang w:val="en-US" w:eastAsia="zh-CN"/>
        </w:rPr>
        <w:t>加强供应监管，提高节约集约用地水平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_Toc3831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CEA3E9">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9.结论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_Toc5196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33CBE65">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bCs/>
          <w:kern w:val="2"/>
          <w:sz w:val="24"/>
          <w:szCs w:val="24"/>
          <w:highlight w:val="none"/>
          <w:lang w:val="zh-CN" w:eastAsia="zh-CN" w:bidi="ar-SA"/>
        </w:rPr>
        <w:fldChar w:fldCharType="end"/>
      </w:r>
    </w:p>
    <w:p w14:paraId="5EC807F5">
      <w:pPr>
        <w:bidi w:val="0"/>
        <w:rPr>
          <w:rFonts w:hint="eastAsia" w:ascii="仿宋" w:hAnsi="仿宋" w:eastAsia="仿宋" w:cs="仿宋"/>
          <w:sz w:val="24"/>
          <w:szCs w:val="24"/>
          <w:lang w:val="en-US" w:eastAsia="zh-CN"/>
        </w:rPr>
        <w:sectPr>
          <w:pgSz w:w="11906" w:h="16838"/>
          <w:pgMar w:top="1440" w:right="1800" w:bottom="1440" w:left="1800" w:header="851" w:footer="992" w:gutter="0"/>
          <w:pgNumType w:fmt="decimal" w:start="1"/>
          <w:cols w:space="425" w:num="1"/>
          <w:docGrid w:type="lines" w:linePitch="312" w:charSpace="0"/>
        </w:sectPr>
      </w:pPr>
    </w:p>
    <w:p w14:paraId="44AE8A01">
      <w:pPr>
        <w:pStyle w:val="2"/>
        <w:numPr>
          <w:ilvl w:val="0"/>
          <w:numId w:val="0"/>
        </w:numPr>
        <w:bidi w:val="0"/>
        <w:ind w:left="432" w:leftChars="0" w:hanging="432" w:firstLineChars="0"/>
        <w:jc w:val="both"/>
        <w:rPr>
          <w:rFonts w:hint="default"/>
          <w:sz w:val="40"/>
          <w:szCs w:val="40"/>
          <w:lang w:val="en-US" w:eastAsia="zh-CN"/>
        </w:rPr>
      </w:pPr>
      <w:bookmarkStart w:id="2" w:name="_Toc9753"/>
      <w:r>
        <w:rPr>
          <w:rFonts w:hint="default" w:ascii="Times New Roman" w:hAnsi="Times New Roman" w:eastAsia="仿宋" w:cs="Times New Roman"/>
          <w:b/>
          <w:bCs/>
          <w:kern w:val="44"/>
          <w:sz w:val="40"/>
          <w:szCs w:val="40"/>
          <w:lang w:val="en-US" w:eastAsia="zh-CN"/>
        </w:rPr>
        <w:t>1.</w:t>
      </w:r>
      <w:r>
        <w:rPr>
          <w:rFonts w:hint="default"/>
          <w:sz w:val="40"/>
          <w:szCs w:val="40"/>
          <w:lang w:val="en-US" w:eastAsia="zh-CN"/>
        </w:rPr>
        <w:t>概述</w:t>
      </w:r>
      <w:bookmarkEnd w:id="2"/>
    </w:p>
    <w:p w14:paraId="7B3E3872">
      <w:pPr>
        <w:pStyle w:val="3"/>
        <w:numPr>
          <w:ilvl w:val="1"/>
          <w:numId w:val="0"/>
        </w:numPr>
        <w:tabs>
          <w:tab w:val="clear" w:pos="420"/>
        </w:tabs>
        <w:bidi w:val="0"/>
        <w:ind w:left="575" w:leftChars="0" w:hanging="575" w:firstLineChars="0"/>
        <w:rPr>
          <w:rFonts w:hint="default"/>
          <w:sz w:val="32"/>
          <w:szCs w:val="32"/>
          <w:lang w:val="en-US" w:eastAsia="zh-CN"/>
        </w:rPr>
      </w:pPr>
      <w:bookmarkStart w:id="3" w:name="_Toc12800"/>
      <w:r>
        <w:rPr>
          <w:rFonts w:hint="eastAsia" w:ascii="Times New Roman" w:hAnsi="Times New Roman" w:eastAsia="仿宋" w:cs="Times New Roman"/>
          <w:b/>
          <w:bCs/>
          <w:kern w:val="2"/>
          <w:sz w:val="32"/>
          <w:szCs w:val="32"/>
          <w:lang w:val="en-US" w:eastAsia="zh-CN"/>
        </w:rPr>
        <w:t>1.1.</w:t>
      </w:r>
      <w:r>
        <w:rPr>
          <w:rFonts w:hint="eastAsia"/>
          <w:sz w:val="32"/>
          <w:szCs w:val="32"/>
          <w:lang w:val="en-US" w:eastAsia="zh-CN"/>
        </w:rPr>
        <w:t>方案的</w:t>
      </w:r>
      <w:r>
        <w:rPr>
          <w:rFonts w:hint="default"/>
          <w:sz w:val="32"/>
          <w:szCs w:val="32"/>
          <w:lang w:val="en-US" w:eastAsia="zh-CN"/>
        </w:rPr>
        <w:t>背景</w:t>
      </w:r>
      <w:bookmarkEnd w:id="3"/>
    </w:p>
    <w:p w14:paraId="0993CE19">
      <w:pPr>
        <w:spacing w:line="240" w:lineRule="auto"/>
        <w:ind w:firstLine="640"/>
        <w:rPr>
          <w:rFonts w:hint="default" w:ascii="Times New Roman" w:hAnsi="Times New Roman" w:eastAsia="仿宋" w:cs="Times New Roman"/>
          <w:sz w:val="28"/>
          <w:szCs w:val="32"/>
          <w:highlight w:val="none"/>
          <w:lang w:eastAsia="zh-CN" w:bidi="ar-SA"/>
        </w:rPr>
      </w:pPr>
      <w:r>
        <w:rPr>
          <w:rFonts w:hint="eastAsia" w:ascii="Times New Roman" w:hAnsi="Times New Roman" w:eastAsia="仿宋" w:cs="Times New Roman"/>
          <w:sz w:val="28"/>
          <w:szCs w:val="32"/>
          <w:lang w:val="en-US" w:eastAsia="zh-CN" w:bidi="ar-SA"/>
        </w:rPr>
        <w:t>根据</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中华人民共和国</w:t>
      </w:r>
      <w:r>
        <w:rPr>
          <w:rFonts w:hint="default" w:ascii="Times New Roman" w:hAnsi="Times New Roman" w:eastAsia="仿宋" w:cs="Times New Roman"/>
          <w:sz w:val="28"/>
          <w:szCs w:val="32"/>
          <w:lang w:eastAsia="zh-CN" w:bidi="ar-SA"/>
        </w:rPr>
        <w:t>土地管理法》第四十五条、《土地征收成片开发标准》（自然资规〔202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eastAsia="zh-CN" w:bidi="ar-SA"/>
        </w:rPr>
        <w:t>号）、</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32"/>
          <w:lang w:eastAsia="zh-CN" w:bidi="ar-SA"/>
        </w:rPr>
        <w:t>，县级以上地方人民政府应当依据当地国民经济和社会发展规划、国土空间规划</w:t>
      </w:r>
      <w:r>
        <w:rPr>
          <w:rFonts w:hint="default" w:ascii="Times New Roman" w:hAnsi="Times New Roman" w:eastAsia="仿宋" w:cs="Times New Roman"/>
          <w:sz w:val="28"/>
          <w:szCs w:val="32"/>
          <w:highlight w:val="none"/>
          <w:lang w:eastAsia="zh-CN" w:bidi="ar-SA"/>
        </w:rPr>
        <w:t>，组织编制土地征收成片开发方案。</w:t>
      </w:r>
    </w:p>
    <w:p w14:paraId="1E173D48">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32D50218">
      <w:pPr>
        <w:spacing w:line="240" w:lineRule="auto"/>
        <w:ind w:firstLine="640"/>
        <w:rPr>
          <w:rFonts w:hint="default" w:ascii="Times New Roman" w:hAnsi="Times New Roman" w:eastAsia="仿宋" w:cs="Times New Roman"/>
          <w:sz w:val="28"/>
          <w:szCs w:val="32"/>
          <w:highlight w:val="none"/>
          <w:lang w:eastAsia="zh-CN" w:bidi="ar-SA"/>
        </w:rPr>
      </w:pPr>
      <w:r>
        <w:rPr>
          <w:rFonts w:hint="default" w:ascii="Times New Roman" w:hAnsi="Times New Roman" w:eastAsia="仿宋" w:cs="Times New Roman"/>
          <w:sz w:val="28"/>
          <w:szCs w:val="32"/>
          <w:highlight w:val="none"/>
          <w:lang w:eastAsia="zh-CN" w:bidi="ar-SA"/>
        </w:rPr>
        <w:t>为做好</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土地征收成片开发项目用地保障，根据</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国民经济和社会发展规划、国土空间规划及产业发展规划等，为大力推进新型工业化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重塑高质量发展</w:t>
      </w:r>
      <w:r>
        <w:rPr>
          <w:rFonts w:hint="eastAsia" w:ascii="Times New Roman" w:hAnsi="Times New Roman" w:eastAsia="仿宋" w:cs="Times New Roman"/>
          <w:sz w:val="28"/>
          <w:szCs w:val="32"/>
          <w:highlight w:val="none"/>
          <w:lang w:val="en-US" w:eastAsia="zh-CN" w:bidi="ar-SA"/>
        </w:rPr>
        <w:t>旅游业</w:t>
      </w:r>
      <w:r>
        <w:rPr>
          <w:rFonts w:hint="default" w:ascii="Times New Roman" w:hAnsi="Times New Roman" w:eastAsia="仿宋" w:cs="Times New Roman"/>
          <w:sz w:val="28"/>
          <w:szCs w:val="32"/>
          <w:highlight w:val="none"/>
          <w:lang w:eastAsia="zh-CN" w:bidi="ar-SA"/>
        </w:rPr>
        <w:t>新优势，大力推进新型城镇化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提升高质量发展城镇新品质，确保成片开发范围内建设项目的顺利实施，由</w:t>
      </w:r>
      <w:r>
        <w:rPr>
          <w:rFonts w:hint="eastAsia" w:ascii="Times New Roman" w:hAnsi="Times New Roman" w:eastAsia="仿宋" w:cs="Times New Roman"/>
          <w:sz w:val="28"/>
          <w:szCs w:val="32"/>
          <w:highlight w:val="none"/>
          <w:lang w:val="en-US" w:eastAsia="zh-CN" w:bidi="ar-SA"/>
        </w:rPr>
        <w:t>高平市人民政府组织，高平市自然资源局委托太原市泓达土地资源咨询服务有限公司</w:t>
      </w:r>
      <w:r>
        <w:rPr>
          <w:rFonts w:hint="default" w:ascii="Times New Roman" w:hAnsi="Times New Roman" w:eastAsia="仿宋" w:cs="Times New Roman"/>
          <w:sz w:val="28"/>
          <w:szCs w:val="32"/>
          <w:highlight w:val="none"/>
          <w:lang w:eastAsia="zh-CN" w:bidi="ar-SA"/>
        </w:rPr>
        <w:t>编制《</w:t>
      </w:r>
      <w:r>
        <w:rPr>
          <w:rFonts w:hint="eastAsia" w:ascii="Times New Roman" w:hAnsi="Times New Roman" w:eastAsia="仿宋" w:cs="Times New Roman"/>
          <w:sz w:val="28"/>
          <w:szCs w:val="32"/>
          <w:highlight w:val="none"/>
          <w:lang w:val="en-US" w:eastAsia="zh-CN" w:bidi="ar-SA"/>
        </w:rPr>
        <w:t>高平市2025</w:t>
      </w:r>
      <w:r>
        <w:rPr>
          <w:rFonts w:hint="eastAsia" w:ascii="Times New Roman" w:hAnsi="Times New Roman" w:eastAsia="仿宋" w:cs="Times New Roman"/>
          <w:sz w:val="28"/>
          <w:szCs w:val="32"/>
          <w:highlight w:val="none"/>
          <w:lang w:eastAsia="zh-CN" w:bidi="ar-SA"/>
        </w:rPr>
        <w:t>年土地征收成片开发方案</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以下简称《方案》</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w:t>
      </w:r>
    </w:p>
    <w:p w14:paraId="616CA2BE">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4" w:name="_Toc25384"/>
      <w:bookmarkStart w:id="5" w:name="_Toc26321"/>
      <w:bookmarkStart w:id="6" w:name="_Toc10243"/>
      <w:bookmarkStart w:id="7" w:name="_Toc19962"/>
      <w:r>
        <w:rPr>
          <w:rFonts w:hint="eastAsia" w:ascii="Times New Roman" w:hAnsi="Times New Roman" w:eastAsia="仿宋" w:cs="Times New Roman"/>
          <w:b/>
          <w:bCs/>
          <w:kern w:val="2"/>
          <w:sz w:val="32"/>
          <w:szCs w:val="32"/>
          <w:highlight w:val="none"/>
          <w:lang w:val="en-US" w:eastAsia="zh-CN"/>
        </w:rPr>
        <w:t>1.2.</w:t>
      </w:r>
      <w:r>
        <w:rPr>
          <w:rFonts w:hint="default"/>
          <w:sz w:val="32"/>
          <w:szCs w:val="32"/>
          <w:highlight w:val="none"/>
          <w:lang w:val="en-US" w:eastAsia="zh-CN"/>
        </w:rPr>
        <w:t>编制原则</w:t>
      </w:r>
      <w:bookmarkEnd w:id="4"/>
      <w:bookmarkEnd w:id="5"/>
      <w:bookmarkEnd w:id="6"/>
      <w:bookmarkEnd w:id="7"/>
    </w:p>
    <w:p w14:paraId="285F4C6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合法合规性原则。</w:t>
      </w:r>
      <w:r>
        <w:rPr>
          <w:rFonts w:hint="default" w:ascii="Times New Roman" w:hAnsi="Times New Roman" w:eastAsia="仿宋" w:cs="Times New Roman"/>
          <w:sz w:val="28"/>
          <w:szCs w:val="32"/>
          <w:lang w:val="en-US" w:eastAsia="zh-CN" w:bidi="ar-SA"/>
        </w:rPr>
        <w:t>土地征收成片开发方案应遵循相关法律、法规的规定，必须符合《中华人民共和国土地管理法》《自然资源部关于印发〈土地征收成片开发标准〉的通知》（自然资规〔202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val="en-US" w:eastAsia="zh-CN" w:bidi="ar-SA"/>
        </w:rPr>
        <w:t>号）、《山西省自然资源厅关于印发〈山西省土地征收成片开发标准实施细则〉的通知》（晋自然资发〔2024〕18号）等相关规定</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注重保护耕地，不占永久基本农田，不占生态保护红线。成片开发应当符合国民经济和社会发展规划、国土空间规划，应当符合“三线一单”生态环境管控要求，应当纳入当地国民经济和社会发展年度计划，并符合国家产业政策和供地政策。</w:t>
      </w:r>
    </w:p>
    <w:p w14:paraId="4A1A1277">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突出公益性原则。</w:t>
      </w:r>
      <w:r>
        <w:rPr>
          <w:rFonts w:hint="default" w:ascii="Times New Roman" w:hAnsi="Times New Roman" w:eastAsia="仿宋" w:cs="Times New Roman"/>
          <w:sz w:val="28"/>
          <w:szCs w:val="32"/>
          <w:lang w:val="en-US" w:eastAsia="zh-CN" w:bidi="ar-SA"/>
        </w:rPr>
        <w:t>土地征收成片开发要以人民为中心，为了公共利益的需要，兼顾群众的现实和长远利益，维护群众合法权益，充分征求成片开发范围内农村集体经济组织和农民的意见，并经集体经济组织成员的村民会议三分之二以上成员或者三分之二以上村民代表同意。提高成片开发范围内基础设施、公共服务设施以及其他公益性用地的比例</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成片开发范围内公益性用地比例一般不低于40%，以省级以上开发区为主的成片开发范围内公益性用地比例不得低于25%。</w:t>
      </w:r>
    </w:p>
    <w:p w14:paraId="7A20094C">
      <w:pPr>
        <w:widowControl w:val="0"/>
        <w:bidi w:val="0"/>
        <w:spacing w:before="50" w:beforeLines="50" w:after="50" w:afterLines="50" w:line="240" w:lineRule="auto"/>
        <w:ind w:firstLine="562" w:firstLineChars="200"/>
        <w:jc w:val="both"/>
        <w:outlineLvl w:val="9"/>
        <w:rPr>
          <w:rFonts w:hint="default" w:ascii="Times New Roman" w:hAnsi="Times New Roman" w:eastAsia="仿宋" w:cs="Times New Roman"/>
          <w:kern w:val="2"/>
          <w:sz w:val="28"/>
          <w:szCs w:val="32"/>
          <w:highlight w:val="none"/>
          <w:lang w:val="en-US" w:eastAsia="zh-CN" w:bidi="ar-SA"/>
        </w:rPr>
      </w:pPr>
      <w:r>
        <w:rPr>
          <w:rFonts w:hint="default" w:ascii="Times New Roman" w:hAnsi="Times New Roman" w:eastAsia="仿宋" w:cs="Times New Roman"/>
          <w:b/>
          <w:bCs/>
          <w:kern w:val="2"/>
          <w:sz w:val="28"/>
          <w:szCs w:val="32"/>
          <w:highlight w:val="none"/>
          <w:lang w:val="en-US" w:eastAsia="zh-CN" w:bidi="ar-SA"/>
        </w:rPr>
        <w:t>节约集约用地原则</w:t>
      </w:r>
      <w:r>
        <w:rPr>
          <w:rFonts w:hint="eastAsia" w:ascii="Times New Roman" w:hAnsi="Times New Roman" w:eastAsia="仿宋" w:cs="Times New Roman"/>
          <w:b/>
          <w:bCs/>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土地征收成片开发应落实最严格的耕地保护制度</w:t>
      </w:r>
      <w:r>
        <w:rPr>
          <w:rFonts w:hint="eastAsia" w:ascii="Times New Roman" w:hAnsi="Times New Roman" w:eastAsia="仿宋" w:cs="Times New Roman"/>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以保护耕地为前提，尽量不占或少占耕地。项目根据经济社会发展状况、实际用地需求、土地利用相关政策等科学合理规划布局，优化资源配置，节约集约利用土地，提高土地利用效率。</w:t>
      </w:r>
    </w:p>
    <w:p w14:paraId="31640288">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科学合理和可操作性原则。</w:t>
      </w:r>
      <w:r>
        <w:rPr>
          <w:rFonts w:hint="default" w:ascii="Times New Roman" w:hAnsi="Times New Roman" w:eastAsia="仿宋" w:cs="Times New Roman"/>
          <w:sz w:val="28"/>
          <w:szCs w:val="32"/>
          <w:lang w:val="en-US" w:eastAsia="zh-CN" w:bidi="ar-SA"/>
        </w:rPr>
        <w:t>土地征收成片开发应当坚持新发展理念，立足城市的长远发展，根据土地经济规律、社会经济发展和市场需求，注重节约集约用地，注重生态环境保护，并通过深度分析和科学论证，确定成片开发的规模和范围</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土地征收成片开发方案，坚持政府主导、市场推动、公众参与，处理好政府管理和市场行为对城市建设的调节作用，促进当地社会经济可持续发展。</w:t>
      </w:r>
    </w:p>
    <w:p w14:paraId="2D10F973">
      <w:pPr>
        <w:pStyle w:val="3"/>
        <w:numPr>
          <w:ilvl w:val="1"/>
          <w:numId w:val="0"/>
        </w:numPr>
        <w:tabs>
          <w:tab w:val="clear" w:pos="420"/>
        </w:tabs>
        <w:bidi w:val="0"/>
        <w:ind w:left="575" w:leftChars="0" w:hanging="575" w:firstLineChars="0"/>
        <w:rPr>
          <w:rFonts w:hint="default"/>
          <w:sz w:val="32"/>
          <w:szCs w:val="32"/>
          <w:lang w:val="en-US" w:eastAsia="zh-CN"/>
        </w:rPr>
      </w:pPr>
      <w:bookmarkStart w:id="8" w:name="_Toc8006"/>
      <w:r>
        <w:rPr>
          <w:rFonts w:hint="eastAsia" w:ascii="Times New Roman" w:hAnsi="Times New Roman" w:eastAsia="仿宋" w:cs="Times New Roman"/>
          <w:b/>
          <w:bCs/>
          <w:kern w:val="2"/>
          <w:sz w:val="32"/>
          <w:szCs w:val="32"/>
          <w:lang w:val="en-US" w:eastAsia="zh-CN"/>
        </w:rPr>
        <w:t>1.3.</w:t>
      </w:r>
      <w:r>
        <w:rPr>
          <w:rFonts w:hint="default"/>
          <w:sz w:val="32"/>
          <w:szCs w:val="32"/>
          <w:lang w:val="en-US" w:eastAsia="zh-CN"/>
        </w:rPr>
        <w:t>方案的依据</w:t>
      </w:r>
      <w:bookmarkEnd w:id="8"/>
    </w:p>
    <w:p w14:paraId="3F0368A8">
      <w:pPr>
        <w:pStyle w:val="4"/>
        <w:numPr>
          <w:ilvl w:val="2"/>
          <w:numId w:val="0"/>
        </w:numPr>
        <w:bidi w:val="0"/>
        <w:ind w:left="720" w:leftChars="0" w:hanging="720" w:firstLineChars="0"/>
        <w:rPr>
          <w:rFonts w:hint="default"/>
          <w:sz w:val="28"/>
          <w:szCs w:val="32"/>
          <w:lang w:val="en-US" w:eastAsia="zh-CN"/>
        </w:rPr>
      </w:pPr>
      <w:bookmarkStart w:id="9" w:name="_Toc21667"/>
      <w:bookmarkStart w:id="10" w:name="_Toc19018"/>
      <w:r>
        <w:rPr>
          <w:rFonts w:hint="eastAsia" w:ascii="Times New Roman" w:hAnsi="Times New Roman" w:eastAsia="仿宋" w:cs="Times New Roman"/>
          <w:b/>
          <w:bCs/>
          <w:kern w:val="2"/>
          <w:sz w:val="28"/>
          <w:szCs w:val="32"/>
          <w:lang w:val="en-US" w:eastAsia="zh-CN" w:bidi="ar-SA"/>
        </w:rPr>
        <w:t>1.3.1.</w:t>
      </w:r>
      <w:r>
        <w:rPr>
          <w:rFonts w:hint="default"/>
          <w:sz w:val="28"/>
          <w:szCs w:val="32"/>
          <w:lang w:val="en-US" w:eastAsia="zh-CN"/>
        </w:rPr>
        <w:t>法律</w:t>
      </w:r>
      <w:bookmarkEnd w:id="9"/>
      <w:bookmarkEnd w:id="10"/>
      <w:r>
        <w:rPr>
          <w:rFonts w:hint="eastAsia"/>
          <w:sz w:val="28"/>
          <w:szCs w:val="32"/>
          <w:lang w:val="en-US" w:eastAsia="zh-CN"/>
        </w:rPr>
        <w:t>法规</w:t>
      </w:r>
    </w:p>
    <w:p w14:paraId="43D5E2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（1）《中华人民共和国土地管理法》（2019年修正）；</w:t>
      </w:r>
    </w:p>
    <w:p w14:paraId="539011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）《中华人民共和国土地管理法实施条例》（2021年修订）；</w:t>
      </w:r>
    </w:p>
    <w:p w14:paraId="65E16B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）《中华人民共和国城乡规划法》（2019年修正）；</w:t>
      </w:r>
    </w:p>
    <w:p w14:paraId="2A8DF3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）《中华人民共和国城市房地产管理法》（2019修正）；</w:t>
      </w:r>
    </w:p>
    <w:p w14:paraId="6F4672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）《中华人民共和国村民委员会组织法》（2021年修订）；</w:t>
      </w:r>
    </w:p>
    <w:p w14:paraId="4EF9A2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）《中华人民共和国环境保护法》（2014年修订）；</w:t>
      </w:r>
    </w:p>
    <w:p w14:paraId="228BD1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）《中华人民共和国森林法》（2019年修订）；</w:t>
      </w:r>
    </w:p>
    <w:p w14:paraId="60BF01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）《中华人民共和国环境影响评价法》（2018年修订）</w:t>
      </w:r>
      <w:r>
        <w:rPr>
          <w:rFonts w:hint="eastAsia" w:ascii="Times New Roman" w:hAnsi="Times New Roman" w:eastAsia="仿宋" w:cs="Times New Roman"/>
          <w:sz w:val="28"/>
          <w:szCs w:val="28"/>
          <w:highlight w:val="none"/>
          <w:lang w:val="en-US" w:eastAsia="zh-CN" w:bidi="ar-SA"/>
        </w:rPr>
        <w:t>；</w:t>
      </w:r>
    </w:p>
    <w:p w14:paraId="5FFEE5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）《基本农田保护条例》（2011年修订）</w:t>
      </w:r>
      <w:r>
        <w:rPr>
          <w:rFonts w:hint="eastAsia" w:ascii="Times New Roman" w:hAnsi="Times New Roman" w:eastAsia="仿宋" w:cs="Times New Roman"/>
          <w:sz w:val="28"/>
          <w:szCs w:val="28"/>
          <w:highlight w:val="none"/>
          <w:lang w:val="en-US" w:eastAsia="zh-CN" w:bidi="ar-SA"/>
        </w:rPr>
        <w:t>。</w:t>
      </w:r>
    </w:p>
    <w:p w14:paraId="359EF6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）《中华人民共和国草原法》（201</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年修正）</w:t>
      </w:r>
      <w:r>
        <w:rPr>
          <w:rFonts w:hint="eastAsia" w:ascii="Times New Roman" w:hAnsi="Times New Roman" w:eastAsia="仿宋" w:cs="Times New Roman"/>
          <w:sz w:val="28"/>
          <w:szCs w:val="28"/>
          <w:highlight w:val="none"/>
          <w:lang w:val="en-US" w:eastAsia="zh-CN" w:bidi="ar-SA"/>
        </w:rPr>
        <w:t>。</w:t>
      </w:r>
    </w:p>
    <w:p w14:paraId="6BA4F91A">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1.3.2.</w:t>
      </w:r>
      <w:r>
        <w:rPr>
          <w:rFonts w:hint="default"/>
          <w:sz w:val="28"/>
          <w:szCs w:val="32"/>
          <w:lang w:val="en-US" w:eastAsia="zh-CN"/>
        </w:rPr>
        <w:t>政策文件</w:t>
      </w:r>
    </w:p>
    <w:p w14:paraId="74A22C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自然资源部关于印发〈国土空间调查、规划、用途管制用地用海分类指南〉</w:t>
      </w:r>
      <w:r>
        <w:rPr>
          <w:rFonts w:hint="eastAsia" w:ascii="Times New Roman" w:hAnsi="Times New Roman" w:eastAsia="仿宋" w:cs="Times New Roman"/>
          <w:sz w:val="28"/>
          <w:szCs w:val="28"/>
          <w:highlight w:val="none"/>
          <w:lang w:val="en-US" w:eastAsia="zh-CN" w:bidi="ar-SA"/>
        </w:rPr>
        <w:t>的通知</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（自然资办发〔202</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234</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p>
    <w:p w14:paraId="5422FA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《自然资源部办公厅关于依据</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划定成果报批建设项目用地用海有关事宜的函》（自然资办函〔2022〕2072号）</w:t>
      </w:r>
      <w:r>
        <w:rPr>
          <w:rFonts w:hint="eastAsia" w:ascii="Times New Roman" w:hAnsi="Times New Roman" w:eastAsia="仿宋" w:cs="Times New Roman"/>
          <w:sz w:val="28"/>
          <w:szCs w:val="28"/>
          <w:highlight w:val="none"/>
          <w:lang w:eastAsia="zh-CN" w:bidi="ar-SA"/>
        </w:rPr>
        <w:t>；</w:t>
      </w:r>
    </w:p>
    <w:p w14:paraId="0C64CF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土地征收成片开发标准》（自然资规〔2023〕7号）；</w:t>
      </w:r>
    </w:p>
    <w:p w14:paraId="057C750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《关于进一步规范征地报批前程序严格征地报批审核工作的通知》（晋自然资函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2020</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103号）</w:t>
      </w:r>
      <w:r>
        <w:rPr>
          <w:rFonts w:hint="eastAsia" w:ascii="Times New Roman" w:hAnsi="Times New Roman" w:eastAsia="仿宋" w:cs="Times New Roman"/>
          <w:sz w:val="28"/>
          <w:szCs w:val="28"/>
          <w:highlight w:val="none"/>
          <w:lang w:eastAsia="zh-CN" w:bidi="ar-SA"/>
        </w:rPr>
        <w:t>；</w:t>
      </w:r>
    </w:p>
    <w:p w14:paraId="4D18DB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w:t>
      </w:r>
    </w:p>
    <w:p w14:paraId="154EDE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p>
    <w:p w14:paraId="679486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）《山西省人民政府〈关于进一步加强项目建设实施的意见〉》</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晋政办发〔2021〕39号</w:t>
      </w:r>
      <w:r>
        <w:rPr>
          <w:rFonts w:hint="eastAsia" w:ascii="Times New Roman" w:hAnsi="Times New Roman" w:eastAsia="仿宋" w:cs="Times New Roman"/>
          <w:sz w:val="28"/>
          <w:szCs w:val="28"/>
          <w:highlight w:val="none"/>
          <w:lang w:val="en-US" w:eastAsia="zh-CN" w:bidi="ar-SA"/>
        </w:rPr>
        <w:t>）；</w:t>
      </w:r>
    </w:p>
    <w:p w14:paraId="16FA8B3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《山西省自然资源厅关于进一步做好当前建设用地报批工作有关事项的通知》（晋自然资函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2021〕843号）</w:t>
      </w:r>
      <w:r>
        <w:rPr>
          <w:rFonts w:hint="eastAsia" w:ascii="Times New Roman" w:hAnsi="Times New Roman" w:eastAsia="仿宋" w:cs="Times New Roman"/>
          <w:sz w:val="28"/>
          <w:szCs w:val="28"/>
          <w:highlight w:val="none"/>
          <w:lang w:eastAsia="zh-CN" w:bidi="ar-SA"/>
        </w:rPr>
        <w:t>；</w:t>
      </w:r>
    </w:p>
    <w:p w14:paraId="19F8FD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eastAsia="zh-CN" w:bidi="ar-SA"/>
        </w:rPr>
        <w:t>《山西省自然资源厅国土空间规划局关于启用</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划定成果积极做好用地要素保障的通知》（晋自然空间规划函〔2022〕7号）</w:t>
      </w:r>
      <w:r>
        <w:rPr>
          <w:rFonts w:hint="eastAsia" w:ascii="Times New Roman" w:hAnsi="Times New Roman" w:eastAsia="仿宋" w:cs="Times New Roman"/>
          <w:sz w:val="28"/>
          <w:szCs w:val="28"/>
          <w:highlight w:val="none"/>
          <w:lang w:eastAsia="zh-CN" w:bidi="ar-SA"/>
        </w:rPr>
        <w:t>。</w:t>
      </w:r>
    </w:p>
    <w:p w14:paraId="716F36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《关于对被征地农民实行基本养老保险补贴的意见》（晋政办发〔2019〕10号）。</w:t>
      </w:r>
    </w:p>
    <w:p w14:paraId="36A34B16">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1.3.3.</w:t>
      </w:r>
      <w:r>
        <w:rPr>
          <w:rFonts w:hint="eastAsia"/>
          <w:sz w:val="28"/>
          <w:szCs w:val="32"/>
          <w:lang w:val="en-US" w:eastAsia="zh-CN"/>
        </w:rPr>
        <w:t>其他资料</w:t>
      </w:r>
    </w:p>
    <w:p w14:paraId="118488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高平市</w:t>
      </w:r>
      <w:r>
        <w:rPr>
          <w:rFonts w:hint="default" w:ascii="Times New Roman" w:hAnsi="Times New Roman" w:eastAsia="仿宋" w:cs="Times New Roman"/>
          <w:color w:val="auto"/>
          <w:sz w:val="28"/>
          <w:szCs w:val="28"/>
          <w:highlight w:val="none"/>
          <w:lang w:val="en-US" w:eastAsia="zh-CN" w:bidi="ar-SA"/>
        </w:rPr>
        <w:t>国民经济和社会发展第十四个五年规划和二〇三五年远景目标纲要》；</w:t>
      </w:r>
    </w:p>
    <w:p w14:paraId="6BDA0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国土空间总体规划（20</w:t>
      </w:r>
      <w:r>
        <w:rPr>
          <w:rFonts w:hint="eastAsia" w:ascii="Times New Roman" w:hAnsi="Times New Roman" w:eastAsia="仿宋" w:cs="Times New Roman"/>
          <w:sz w:val="28"/>
          <w:szCs w:val="28"/>
          <w:highlight w:val="none"/>
          <w:lang w:val="en-US" w:eastAsia="zh-CN" w:bidi="ar-SA"/>
        </w:rPr>
        <w:t>21</w:t>
      </w:r>
      <w:r>
        <w:rPr>
          <w:rFonts w:hint="default" w:ascii="Times New Roman" w:hAnsi="Times New Roman" w:eastAsia="仿宋" w:cs="Times New Roman"/>
          <w:sz w:val="28"/>
          <w:szCs w:val="28"/>
          <w:highlight w:val="none"/>
          <w:lang w:val="en-US" w:eastAsia="zh-CN" w:bidi="ar-SA"/>
        </w:rPr>
        <w:t>-2035</w:t>
      </w:r>
      <w:r>
        <w:rPr>
          <w:rFonts w:hint="eastAsia" w:ascii="Times New Roman" w:hAnsi="Times New Roman" w:eastAsia="仿宋" w:cs="Times New Roman"/>
          <w:sz w:val="28"/>
          <w:szCs w:val="28"/>
          <w:highlight w:val="none"/>
          <w:lang w:val="en-US" w:eastAsia="zh-CN" w:bidi="ar-SA"/>
        </w:rPr>
        <w:t>年</w:t>
      </w:r>
      <w:r>
        <w:rPr>
          <w:rFonts w:hint="default" w:ascii="Times New Roman" w:hAnsi="Times New Roman" w:eastAsia="仿宋" w:cs="Times New Roman"/>
          <w:sz w:val="28"/>
          <w:szCs w:val="28"/>
          <w:highlight w:val="none"/>
          <w:lang w:val="en-US" w:eastAsia="zh-CN" w:bidi="ar-SA"/>
        </w:rPr>
        <w:t>）》；</w:t>
      </w:r>
    </w:p>
    <w:p w14:paraId="687678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32"/>
          <w:lang w:eastAsia="zh-CN" w:bidi="ar-SA"/>
        </w:rPr>
      </w:pPr>
      <w:r>
        <w:rPr>
          <w:rFonts w:hint="eastAsia" w:ascii="Times New Roman" w:hAnsi="Times New Roman" w:eastAsia="仿宋" w:cs="Times New Roman"/>
          <w:color w:val="auto"/>
          <w:sz w:val="28"/>
          <w:szCs w:val="32"/>
          <w:lang w:val="en-US" w:eastAsia="zh-CN" w:bidi="ar-SA"/>
        </w:rPr>
        <w:t>（3）《山西省人民政府关于晋城市泽州县等5县（市）国土空间规划（2021—2035年）的批复》（晋政函</w:t>
      </w:r>
      <w:r>
        <w:rPr>
          <w:rFonts w:hint="default" w:ascii="Times New Roman" w:hAnsi="Times New Roman" w:eastAsia="仿宋" w:cs="Times New Roman"/>
          <w:color w:val="auto"/>
          <w:sz w:val="28"/>
          <w:szCs w:val="32"/>
          <w:lang w:bidi="ar-SA"/>
        </w:rPr>
        <w:t>〔202</w:t>
      </w:r>
      <w:r>
        <w:rPr>
          <w:rFonts w:hint="eastAsia" w:ascii="Times New Roman" w:hAnsi="Times New Roman" w:eastAsia="仿宋" w:cs="Times New Roman"/>
          <w:color w:val="auto"/>
          <w:sz w:val="28"/>
          <w:szCs w:val="32"/>
          <w:lang w:val="en-US" w:eastAsia="zh-CN" w:bidi="ar-SA"/>
        </w:rPr>
        <w:t>4</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36</w:t>
      </w:r>
      <w:r>
        <w:rPr>
          <w:rFonts w:hint="default" w:ascii="Times New Roman" w:hAnsi="Times New Roman" w:eastAsia="仿宋" w:cs="Times New Roman"/>
          <w:color w:val="auto"/>
          <w:sz w:val="28"/>
          <w:szCs w:val="32"/>
          <w:lang w:bidi="ar-SA"/>
        </w:rPr>
        <w:t>号</w:t>
      </w:r>
      <w:r>
        <w:rPr>
          <w:rFonts w:hint="eastAsia" w:ascii="Times New Roman" w:hAnsi="Times New Roman" w:eastAsia="仿宋" w:cs="Times New Roman"/>
          <w:color w:val="auto"/>
          <w:sz w:val="28"/>
          <w:szCs w:val="32"/>
          <w:lang w:val="en-US" w:eastAsia="zh-CN" w:bidi="ar-SA"/>
        </w:rPr>
        <w:t>）；</w:t>
      </w:r>
    </w:p>
    <w:p w14:paraId="4EA63B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4</w:t>
      </w:r>
      <w:r>
        <w:rPr>
          <w:rFonts w:hint="default" w:ascii="Times New Roman" w:hAnsi="Times New Roman" w:eastAsia="仿宋" w:cs="Times New Roman"/>
          <w:sz w:val="28"/>
          <w:szCs w:val="32"/>
          <w:lang w:bidi="ar-SA"/>
        </w:rPr>
        <w:t>）《自然资源部办公厅关于依据</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划定成果报批建设项目用地用海有关事宜的函》（自然资办函〔2022〕2072号）</w:t>
      </w:r>
      <w:r>
        <w:rPr>
          <w:rFonts w:hint="default" w:ascii="Times New Roman" w:hAnsi="Times New Roman" w:eastAsia="仿宋" w:cs="Times New Roman"/>
          <w:sz w:val="28"/>
          <w:szCs w:val="32"/>
          <w:lang w:eastAsia="zh-CN" w:bidi="ar-SA"/>
        </w:rPr>
        <w:t>；</w:t>
      </w:r>
    </w:p>
    <w:p w14:paraId="07D08F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5</w:t>
      </w:r>
      <w:r>
        <w:rPr>
          <w:rFonts w:hint="default" w:ascii="Times New Roman" w:hAnsi="Times New Roman" w:eastAsia="仿宋" w:cs="Times New Roman"/>
          <w:sz w:val="28"/>
          <w:szCs w:val="32"/>
          <w:lang w:eastAsia="zh-CN" w:bidi="ar-SA"/>
        </w:rPr>
        <w:t>）《山西省自然资源厅国土空间规划局关于启用</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划定成果积极做好用地要素保障的通知》（晋自然空间规划函〔2022〕7号）</w:t>
      </w:r>
      <w:r>
        <w:rPr>
          <w:rFonts w:hint="eastAsia" w:ascii="Times New Roman" w:hAnsi="Times New Roman" w:eastAsia="仿宋" w:cs="Times New Roman"/>
          <w:sz w:val="28"/>
          <w:szCs w:val="32"/>
          <w:lang w:eastAsia="zh-CN" w:bidi="ar-SA"/>
        </w:rPr>
        <w:t>；</w:t>
      </w:r>
    </w:p>
    <w:p w14:paraId="432517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高平市“三区三线”划定</w:t>
      </w:r>
      <w:r>
        <w:rPr>
          <w:rFonts w:hint="default" w:ascii="Times New Roman" w:hAnsi="Times New Roman" w:eastAsia="仿宋" w:cs="Times New Roman"/>
          <w:sz w:val="28"/>
          <w:szCs w:val="28"/>
          <w:highlight w:val="none"/>
          <w:lang w:val="en-US" w:eastAsia="zh-CN" w:bidi="ar-SA"/>
        </w:rPr>
        <w:t>成果</w:t>
      </w:r>
      <w:r>
        <w:rPr>
          <w:rFonts w:hint="eastAsia" w:ascii="Times New Roman" w:hAnsi="Times New Roman" w:eastAsia="仿宋" w:cs="Times New Roman"/>
          <w:sz w:val="28"/>
          <w:szCs w:val="28"/>
          <w:highlight w:val="none"/>
          <w:lang w:val="en-US" w:eastAsia="zh-CN" w:bidi="ar-SA"/>
        </w:rPr>
        <w:t>；</w:t>
      </w:r>
    </w:p>
    <w:p w14:paraId="40C1B2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28"/>
          <w:highlight w:val="none"/>
          <w:lang w:val="en-US" w:eastAsia="zh-CN" w:bidi="ar-SA"/>
        </w:rPr>
        <w:t>；</w:t>
      </w:r>
    </w:p>
    <w:p w14:paraId="6BFE92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）其他有关的法律、法规、文件、标准，以及相关规划等</w:t>
      </w:r>
      <w:r>
        <w:rPr>
          <w:rFonts w:hint="eastAsia" w:ascii="Times New Roman" w:hAnsi="Times New Roman" w:eastAsia="仿宋" w:cs="Times New Roman"/>
          <w:sz w:val="28"/>
          <w:szCs w:val="28"/>
          <w:highlight w:val="none"/>
          <w:lang w:val="en-US" w:eastAsia="zh-CN" w:bidi="ar-SA"/>
        </w:rPr>
        <w:t>。</w:t>
      </w:r>
    </w:p>
    <w:p w14:paraId="13CFC216">
      <w:pPr>
        <w:pStyle w:val="3"/>
        <w:numPr>
          <w:ilvl w:val="1"/>
          <w:numId w:val="0"/>
        </w:numPr>
        <w:tabs>
          <w:tab w:val="clear" w:pos="420"/>
        </w:tabs>
        <w:bidi w:val="0"/>
        <w:ind w:left="575" w:leftChars="0" w:hanging="575" w:firstLineChars="0"/>
        <w:rPr>
          <w:rFonts w:hint="default"/>
          <w:sz w:val="32"/>
          <w:szCs w:val="32"/>
          <w:lang w:val="en-US" w:eastAsia="zh-CN"/>
        </w:rPr>
      </w:pPr>
      <w:bookmarkStart w:id="11" w:name="_Toc20889"/>
      <w:r>
        <w:rPr>
          <w:rFonts w:hint="eastAsia" w:ascii="Times New Roman" w:hAnsi="Times New Roman" w:eastAsia="仿宋" w:cs="Times New Roman"/>
          <w:b/>
          <w:bCs/>
          <w:kern w:val="2"/>
          <w:sz w:val="32"/>
          <w:szCs w:val="32"/>
          <w:lang w:val="en-US" w:eastAsia="zh-CN"/>
        </w:rPr>
        <w:t>1.4.</w:t>
      </w:r>
      <w:r>
        <w:rPr>
          <w:rFonts w:hint="eastAsia"/>
          <w:sz w:val="32"/>
          <w:szCs w:val="32"/>
          <w:lang w:val="en-US" w:eastAsia="zh-CN"/>
        </w:rPr>
        <w:t>实施时限</w:t>
      </w:r>
      <w:bookmarkEnd w:id="11"/>
    </w:p>
    <w:p w14:paraId="31904A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综合考虑当地社会经济发展状况、市场需求情况、资金筹措等因素，本方案实施时限为</w:t>
      </w:r>
      <w:r>
        <w:rPr>
          <w:rFonts w:hint="eastAsia" w:ascii="Times New Roman" w:hAnsi="Times New Roman" w:eastAsia="仿宋" w:cs="Times New Roman"/>
          <w:sz w:val="28"/>
          <w:szCs w:val="28"/>
          <w:highlight w:val="none"/>
          <w:lang w:val="en-US" w:eastAsia="zh-CN" w:bidi="ar-SA"/>
        </w:rPr>
        <w:t>2025</w:t>
      </w:r>
      <w:r>
        <w:rPr>
          <w:rFonts w:hint="default" w:ascii="Times New Roman" w:hAnsi="Times New Roman" w:eastAsia="仿宋" w:cs="Times New Roman"/>
          <w:sz w:val="28"/>
          <w:szCs w:val="28"/>
          <w:highlight w:val="none"/>
          <w:lang w:val="en-US" w:eastAsia="zh-CN" w:bidi="ar-SA"/>
        </w:rPr>
        <w:t>年</w:t>
      </w:r>
      <w:r>
        <w:rPr>
          <w:rFonts w:hint="eastAsia" w:ascii="Times New Roman" w:hAnsi="Times New Roman" w:eastAsia="仿宋" w:cs="Times New Roman"/>
          <w:sz w:val="28"/>
          <w:szCs w:val="28"/>
          <w:highlight w:val="none"/>
          <w:lang w:val="en-US" w:eastAsia="zh-CN" w:bidi="ar-SA"/>
        </w:rPr>
        <w:t>。</w:t>
      </w:r>
    </w:p>
    <w:p w14:paraId="737947A0">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br w:type="page"/>
      </w:r>
    </w:p>
    <w:p w14:paraId="677AA142">
      <w:pPr>
        <w:pStyle w:val="2"/>
        <w:numPr>
          <w:ilvl w:val="0"/>
          <w:numId w:val="0"/>
        </w:numPr>
        <w:bidi w:val="0"/>
        <w:ind w:left="432" w:leftChars="0" w:hanging="432" w:firstLineChars="0"/>
        <w:jc w:val="both"/>
        <w:rPr>
          <w:rFonts w:hint="default"/>
          <w:sz w:val="40"/>
          <w:szCs w:val="40"/>
          <w:lang w:val="en-US" w:eastAsia="zh-CN"/>
        </w:rPr>
      </w:pPr>
      <w:bookmarkStart w:id="12" w:name="_Toc17994"/>
      <w:r>
        <w:rPr>
          <w:rFonts w:hint="default" w:ascii="Times New Roman" w:hAnsi="Times New Roman" w:eastAsia="仿宋" w:cs="Times New Roman"/>
          <w:b/>
          <w:bCs/>
          <w:kern w:val="44"/>
          <w:sz w:val="40"/>
          <w:szCs w:val="40"/>
          <w:lang w:val="en-US" w:eastAsia="zh-CN"/>
        </w:rPr>
        <w:t>2.</w:t>
      </w:r>
      <w:r>
        <w:rPr>
          <w:rFonts w:hint="default"/>
          <w:sz w:val="40"/>
          <w:szCs w:val="40"/>
          <w:lang w:val="en-US" w:eastAsia="zh-CN"/>
        </w:rPr>
        <w:t>区域基本情况</w:t>
      </w:r>
      <w:bookmarkEnd w:id="12"/>
    </w:p>
    <w:p w14:paraId="51B4EB1A">
      <w:pPr>
        <w:pStyle w:val="3"/>
        <w:numPr>
          <w:ilvl w:val="1"/>
          <w:numId w:val="0"/>
        </w:numPr>
        <w:tabs>
          <w:tab w:val="clear" w:pos="420"/>
        </w:tabs>
        <w:bidi w:val="0"/>
        <w:ind w:left="575" w:leftChars="0" w:hanging="575" w:firstLineChars="0"/>
        <w:rPr>
          <w:rFonts w:hint="default"/>
          <w:sz w:val="32"/>
          <w:szCs w:val="32"/>
          <w:lang w:val="en-US" w:eastAsia="zh-CN"/>
        </w:rPr>
      </w:pPr>
      <w:bookmarkStart w:id="13" w:name="_Toc17958"/>
      <w:r>
        <w:rPr>
          <w:rFonts w:hint="eastAsia" w:ascii="Times New Roman" w:hAnsi="Times New Roman" w:eastAsia="仿宋" w:cs="Times New Roman"/>
          <w:b/>
          <w:bCs/>
          <w:kern w:val="2"/>
          <w:sz w:val="32"/>
          <w:szCs w:val="32"/>
          <w:lang w:val="en-US" w:eastAsia="zh-CN"/>
        </w:rPr>
        <w:t>2.1.</w:t>
      </w:r>
      <w:r>
        <w:rPr>
          <w:rFonts w:hint="eastAsia"/>
          <w:sz w:val="32"/>
          <w:szCs w:val="32"/>
          <w:lang w:val="en-US" w:eastAsia="zh-CN"/>
        </w:rPr>
        <w:t>高平市</w:t>
      </w:r>
      <w:r>
        <w:rPr>
          <w:rFonts w:hint="default"/>
          <w:sz w:val="32"/>
          <w:szCs w:val="32"/>
          <w:lang w:val="en-US" w:eastAsia="zh-CN"/>
        </w:rPr>
        <w:t>成片开发总体情况</w:t>
      </w:r>
      <w:bookmarkEnd w:id="13"/>
    </w:p>
    <w:p w14:paraId="32D43FC2">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2.1.1.高平市概况</w:t>
      </w:r>
    </w:p>
    <w:p w14:paraId="24CBB4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1</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行政区划</w:t>
      </w:r>
    </w:p>
    <w:p w14:paraId="1A8B19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隶属于山西省晋城市，辖</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个街道办事处</w:t>
      </w:r>
      <w:r>
        <w:rPr>
          <w:rFonts w:hint="eastAsia" w:ascii="Times New Roman" w:hAnsi="Times New Roman" w:eastAsia="仿宋" w:cs="Times New Roman"/>
          <w:sz w:val="28"/>
          <w:szCs w:val="28"/>
          <w:highlight w:val="none"/>
          <w:lang w:val="en-US" w:eastAsia="zh-CN" w:bidi="ar-SA"/>
        </w:rPr>
        <w:t>，9个乡镇和3个乡。</w:t>
      </w:r>
      <w:r>
        <w:rPr>
          <w:rFonts w:hint="default" w:ascii="Times New Roman" w:hAnsi="Times New Roman" w:eastAsia="仿宋" w:cs="Times New Roman"/>
          <w:sz w:val="28"/>
          <w:szCs w:val="28"/>
          <w:highlight w:val="none"/>
          <w:lang w:val="en-US" w:eastAsia="zh-CN" w:bidi="ar-SA"/>
        </w:rPr>
        <w:t>街道办事处分别为：东城街街道办事处、南城街街道办事处、北城街街道办事处。9个镇分别是：河西镇、马村镇、米山镇、寺庄镇、陈区镇、野川镇、三甲镇、北诗镇、神农镇。</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个乡分别是：建宁乡、石末乡、原村乡。</w:t>
      </w:r>
    </w:p>
    <w:p w14:paraId="48E1C24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区位条件</w:t>
      </w:r>
    </w:p>
    <w:p w14:paraId="366021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高平市位于山西省晋城市北部，泽州盆地北端，太行山西南边缘。地理坐标为东经</w:t>
      </w:r>
      <w:r>
        <w:rPr>
          <w:rFonts w:hint="default" w:ascii="Times New Roman" w:hAnsi="Times New Roman" w:eastAsia="仿宋" w:cs="Times New Roman"/>
          <w:sz w:val="28"/>
          <w:szCs w:val="28"/>
          <w:highlight w:val="none"/>
          <w:lang w:val="en-US" w:eastAsia="zh-CN" w:bidi="ar-SA"/>
        </w:rPr>
        <w:t>112°40′-113°10′、北纬35°40′-36°00′</w:t>
      </w:r>
      <w:r>
        <w:rPr>
          <w:rFonts w:hint="eastAsia" w:ascii="Times New Roman" w:hAnsi="Times New Roman" w:eastAsia="仿宋" w:cs="Times New Roman"/>
          <w:sz w:val="28"/>
          <w:szCs w:val="28"/>
          <w:highlight w:val="none"/>
          <w:lang w:val="en-US" w:eastAsia="zh-CN" w:bidi="ar-SA"/>
        </w:rPr>
        <w:t>，东至铁佛岭与陵川县接壤，西至老马岭与沁水县毗连，西北至丹朱岭与长子县为邻，东北至金泉山与长治市相接，南至界牌岭与泽州县交界，是晋城市的北大门。</w:t>
      </w:r>
    </w:p>
    <w:p w14:paraId="4093BA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（3）地形地貌</w:t>
      </w:r>
    </w:p>
    <w:p w14:paraId="30DDF96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高平市东、西、北三面环山，状如簸箕。丹河由西北至东南纵穿全市，其流域成带状平川，向南渐宽。整个地势西北高东南低，境内最高点为市境东北与长治县交界的金泉山，海拔1391.1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最低处为河西镇杜村，海拔800</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相对高差591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p>
    <w:p w14:paraId="6DC8C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境内山峦连绵，河道纵横，丘陵起伏，沟壑纵横，平川较少，层次明显，地形破碎复杂，依其形成特点可分为三类地形：河谷平川区、黄土丘陵区、中低山区。河谷平川区分布在丹河水系两侧，冲积、洪积而成，形似不规则的带状，约占总面积的17%</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黄土丘陵区位于平川区向山区的过渡地带，近似正方形，约占35%</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中低山区位于市境西部和北部边缘的吾神山系、五龙山系、首阳山系及中部的韩王山和七佛山，成不规则直角形，占总面积的48%。约50%的耕地分布在丘陵阶地上。</w:t>
      </w:r>
    </w:p>
    <w:p w14:paraId="7103C3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sz w:val="28"/>
          <w:szCs w:val="28"/>
          <w:highlight w:val="none"/>
          <w:lang w:val="en-US" w:eastAsia="zh-CN" w:bidi="ar-SA"/>
        </w:rPr>
        <w:t>矿产资源</w:t>
      </w:r>
    </w:p>
    <w:p w14:paraId="244B9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高平市境内矿产资源丰富，主要有煤、硫铁矿、铁矿、铝土矿、耐火粘土、石灰岩、砂石及粘土等，尤以煤炭资源最为丰富，无烟煤分布广、储量大、埋藏浅、易开采。</w:t>
      </w:r>
    </w:p>
    <w:p w14:paraId="1824DB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生态环境</w:t>
      </w:r>
    </w:p>
    <w:p w14:paraId="48A7ECB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属于典型的暖温带季风气候。主要特征是：大陆性气候明显，四季分明，春季干燥多风，夏季炎热多雨，秋季凉爽有阴雨，冬季严寒少雪。年平均气温为10.9℃,一般在9.2℃-10.5℃之间。极端最低气温-23.1℃,极端最高气温37.3℃。年平均降雨量为599.7</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mm,雨季多集中在6、7、8、9四个月。气候干燥，年主导风向为西北风和东南风，冬春常见西北风，夏季多为东南风和南风，最大风力6级，一般为3-4级，冰冻期为每年10月上句至翌年3月份，最大冻土深度0.45</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m,年平均无霜期为180天。</w:t>
      </w:r>
    </w:p>
    <w:p w14:paraId="50AF1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2023年，</w:t>
      </w:r>
      <w:r>
        <w:rPr>
          <w:rFonts w:hint="eastAsia" w:ascii="Times New Roman" w:hAnsi="Times New Roman" w:eastAsia="仿宋" w:cs="Times New Roman"/>
          <w:color w:val="auto"/>
          <w:sz w:val="28"/>
          <w:szCs w:val="28"/>
          <w:highlight w:val="none"/>
          <w:lang w:val="en-US" w:eastAsia="zh-CN" w:bidi="ar-SA"/>
        </w:rPr>
        <w:t>高平</w:t>
      </w:r>
      <w:r>
        <w:rPr>
          <w:rFonts w:hint="default" w:ascii="Times New Roman" w:hAnsi="Times New Roman" w:eastAsia="仿宋" w:cs="Times New Roman"/>
          <w:color w:val="auto"/>
          <w:sz w:val="28"/>
          <w:szCs w:val="28"/>
          <w:highlight w:val="none"/>
          <w:lang w:val="en-US" w:eastAsia="zh-CN" w:bidi="ar-SA"/>
        </w:rPr>
        <w:t>市空气质量综合指数4.15，达历史最好水平，同比下降4.2%，全省排名第61；优良天287天；PM</w:t>
      </w:r>
      <w:r>
        <w:rPr>
          <w:rFonts w:hint="default" w:ascii="Times New Roman" w:hAnsi="Times New Roman" w:eastAsia="仿宋" w:cs="Times New Roman"/>
          <w:color w:val="auto"/>
          <w:sz w:val="28"/>
          <w:szCs w:val="28"/>
          <w:highlight w:val="none"/>
          <w:vertAlign w:val="subscript"/>
          <w:lang w:val="en-US" w:eastAsia="zh-CN" w:bidi="ar-SA"/>
        </w:rPr>
        <w:t>2.5</w:t>
      </w:r>
      <w:r>
        <w:rPr>
          <w:rFonts w:hint="default" w:ascii="Times New Roman" w:hAnsi="Times New Roman" w:eastAsia="仿宋" w:cs="Times New Roman"/>
          <w:color w:val="auto"/>
          <w:sz w:val="28"/>
          <w:szCs w:val="28"/>
          <w:highlight w:val="none"/>
          <w:lang w:val="en-US" w:eastAsia="zh-CN" w:bidi="ar-SA"/>
        </w:rPr>
        <w:t>（32ug/m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）、PM</w:t>
      </w:r>
      <w:r>
        <w:rPr>
          <w:rFonts w:hint="default" w:ascii="Times New Roman" w:hAnsi="Times New Roman" w:eastAsia="仿宋" w:cs="Times New Roman"/>
          <w:color w:val="auto"/>
          <w:sz w:val="28"/>
          <w:szCs w:val="28"/>
          <w:highlight w:val="none"/>
          <w:vertAlign w:val="subscript"/>
          <w:lang w:val="en-US" w:eastAsia="zh-CN" w:bidi="ar-SA"/>
        </w:rPr>
        <w:t>10</w:t>
      </w:r>
      <w:r>
        <w:rPr>
          <w:rFonts w:hint="default" w:ascii="Times New Roman" w:hAnsi="Times New Roman" w:eastAsia="仿宋" w:cs="Times New Roman"/>
          <w:color w:val="auto"/>
          <w:sz w:val="28"/>
          <w:szCs w:val="28"/>
          <w:highlight w:val="none"/>
          <w:lang w:val="en-US" w:eastAsia="zh-CN" w:bidi="ar-SA"/>
        </w:rPr>
        <w:t>（62ug/m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）、SO</w:t>
      </w:r>
      <w:r>
        <w:rPr>
          <w:rFonts w:hint="default" w:ascii="Times New Roman" w:hAnsi="Times New Roman" w:eastAsia="仿宋" w:cs="Times New Roman"/>
          <w:color w:val="auto"/>
          <w:sz w:val="28"/>
          <w:szCs w:val="28"/>
          <w:highlight w:val="none"/>
          <w:vertAlign w:val="subscript"/>
          <w:lang w:val="en-US" w:eastAsia="zh-CN" w:bidi="ar-SA"/>
        </w:rPr>
        <w:t>2</w:t>
      </w:r>
      <w:r>
        <w:rPr>
          <w:rFonts w:hint="default" w:ascii="Times New Roman" w:hAnsi="Times New Roman" w:eastAsia="仿宋" w:cs="Times New Roman"/>
          <w:color w:val="auto"/>
          <w:sz w:val="28"/>
          <w:szCs w:val="28"/>
          <w:highlight w:val="none"/>
          <w:lang w:val="en-US" w:eastAsia="zh-CN" w:bidi="ar-SA"/>
        </w:rPr>
        <w:t>（11ug/m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）、CO（1.6mg/m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）均同比下降，均达历史最好水平。</w:t>
      </w:r>
    </w:p>
    <w:p w14:paraId="545C3C1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（5）历史</w:t>
      </w:r>
      <w:r>
        <w:rPr>
          <w:rFonts w:hint="default" w:ascii="Times New Roman" w:hAnsi="Times New Roman" w:eastAsia="仿宋" w:cs="Times New Roman"/>
          <w:sz w:val="28"/>
          <w:szCs w:val="28"/>
          <w:highlight w:val="none"/>
          <w:lang w:val="en-US" w:eastAsia="zh-CN" w:bidi="ar-SA"/>
        </w:rPr>
        <w:t>资源</w:t>
      </w:r>
    </w:p>
    <w:p w14:paraId="618E08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历史悠久，文化灿烂，是神农炎帝故里，华夏文明重要发祥地之一，炎帝文化历史遗存数量最多，公祭民祭源远流长，民间传说与风情习俗流传广泛，连续举办八届“问祖炎帝·寻根高平”海峡两岸同胞神农炎帝故里民间拜祖活动；是长平之战发生地，历史上著名的长平之战，奠定了秦王朝一统天下的军事基础；是中国古建博物馆，现有国保单位22处，宋金时期以前的古建筑超过长江以南的总和；是上党梆子之乡，上党梆子五朵梅花奖得主悉数根扎于此。</w:t>
      </w:r>
    </w:p>
    <w:p w14:paraId="372AE6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（6）社会经济</w:t>
      </w:r>
    </w:p>
    <w:p w14:paraId="47BA921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工业基础雄厚，企业发展迅猛。全市以煤炭支柱产业的发展带动化工、医药、建材、食品、轻纺等工业全面发展，目前已初步形成一个能源工业为主，轻重工业并举，行业门类齐全，结构比较合理的多元化支柱产业群。拥有煤炭加工、金属冶炼、轻工、建材等一批新型企业。</w:t>
      </w:r>
    </w:p>
    <w:p w14:paraId="6B8C6A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2023年，地区生产总值完成434亿元、增长8.6%，连续四年位居全省县（市）前五；规模以上工业增加值增长10.8%，排晋城市第一；固定资产投资完成120.3亿元，增长10.3%；社会消费品零售总额完成72.9亿元，增长7.6%；城镇居民人均可支配收入完成44658元，增长5.7%，增速排晋城市第一；农村居民人均可支配收入完成21454元，增长9.2%；一般公共预算收入完成52.5亿元，连续两年位居全省县级第一。经济实力稳居全省第一方阵前列。高平市入选2024中国中部地区综合竞争力百强县市榜单，位列第44位。</w:t>
      </w:r>
    </w:p>
    <w:p w14:paraId="5069077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color w:val="auto"/>
          <w:kern w:val="2"/>
          <w:sz w:val="28"/>
          <w:szCs w:val="32"/>
          <w:lang w:val="en-US" w:eastAsia="zh-CN" w:bidi="ar-SA"/>
        </w:rPr>
      </w:pPr>
      <w:r>
        <w:rPr>
          <w:rFonts w:hint="eastAsia" w:ascii="Times New Roman" w:hAnsi="Times New Roman" w:eastAsia="仿宋" w:cs="Times New Roman"/>
          <w:b/>
          <w:bCs/>
          <w:color w:val="auto"/>
          <w:kern w:val="2"/>
          <w:sz w:val="28"/>
          <w:szCs w:val="32"/>
          <w:lang w:val="en-US" w:eastAsia="zh-CN" w:bidi="ar-SA"/>
        </w:rPr>
        <w:t>2.1.2.高平市总体格局</w:t>
      </w:r>
    </w:p>
    <w:p w14:paraId="49818D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color w:val="auto"/>
          <w:sz w:val="28"/>
          <w:szCs w:val="32"/>
          <w:highlight w:val="none"/>
          <w:lang w:val="en-US" w:eastAsia="zh-CN" w:bidi="ar-SA"/>
        </w:rPr>
        <w:t>以区域内地形地貌基本特征</w:t>
      </w:r>
      <w:r>
        <w:rPr>
          <w:rFonts w:hint="default" w:ascii="Times New Roman" w:hAnsi="Times New Roman" w:eastAsia="仿宋" w:cs="Times New Roman"/>
          <w:sz w:val="28"/>
          <w:szCs w:val="32"/>
          <w:highlight w:val="none"/>
          <w:lang w:val="en-US" w:eastAsia="zh-CN" w:bidi="ar-SA"/>
        </w:rPr>
        <w:t>为基础，以国土空间开发战略与目标为导向，结合主体功能定位，落实生态优先、绿色发展理念，构建“一廊一屏三区多楔，一核一轴一带两翼”的国土空间开发保护总体格局。</w:t>
      </w:r>
    </w:p>
    <w:p w14:paraId="59E9CE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“一廊”，即丹河生态廊道</w:t>
      </w:r>
      <w:r>
        <w:rPr>
          <w:rFonts w:hint="eastAsia" w:ascii="Times New Roman" w:hAnsi="Times New Roman" w:eastAsia="仿宋" w:cs="Times New Roman"/>
          <w:sz w:val="28"/>
          <w:szCs w:val="32"/>
          <w:highlight w:val="none"/>
          <w:lang w:val="en-US" w:eastAsia="zh-CN" w:bidi="ar-SA"/>
        </w:rPr>
        <w:t>。将丹河打造成贯穿南北的生态廊道。</w:t>
      </w:r>
      <w:r>
        <w:rPr>
          <w:rFonts w:hint="default" w:ascii="Times New Roman" w:hAnsi="Times New Roman" w:eastAsia="仿宋" w:cs="Times New Roman"/>
          <w:sz w:val="28"/>
          <w:szCs w:val="32"/>
          <w:highlight w:val="none"/>
          <w:lang w:val="en-US" w:eastAsia="zh-CN" w:bidi="ar-SA"/>
        </w:rPr>
        <w:t>“一屏”，即北部生态屏障</w:t>
      </w:r>
      <w:r>
        <w:rPr>
          <w:rFonts w:hint="eastAsia" w:ascii="Times New Roman" w:hAnsi="Times New Roman" w:eastAsia="仿宋" w:cs="Times New Roman"/>
          <w:sz w:val="28"/>
          <w:szCs w:val="32"/>
          <w:highlight w:val="none"/>
          <w:lang w:val="en-US" w:eastAsia="zh-CN" w:bidi="ar-SA"/>
        </w:rPr>
        <w:t>。以丹河省级湿地自然公园、七佛山省级森林自然公园为本底的北部生态屏障。</w:t>
      </w:r>
      <w:r>
        <w:rPr>
          <w:rFonts w:hint="default" w:ascii="Times New Roman" w:hAnsi="Times New Roman" w:eastAsia="仿宋" w:cs="Times New Roman"/>
          <w:sz w:val="28"/>
          <w:szCs w:val="32"/>
          <w:highlight w:val="none"/>
          <w:lang w:val="en-US" w:eastAsia="zh-CN" w:bidi="ar-SA"/>
        </w:rPr>
        <w:t>“三区”，即三类农业功能区</w:t>
      </w:r>
      <w:r>
        <w:rPr>
          <w:rFonts w:hint="eastAsia" w:ascii="Times New Roman" w:hAnsi="Times New Roman" w:eastAsia="仿宋" w:cs="Times New Roman"/>
          <w:sz w:val="28"/>
          <w:szCs w:val="32"/>
          <w:highlight w:val="none"/>
          <w:lang w:val="en-US" w:eastAsia="zh-CN" w:bidi="ar-SA"/>
        </w:rPr>
        <w:t>。分别是特色农业区，重点种植当地特色水果；粮食生产功能区，以种植红薯、玉米等粮食产品为主；盆地规模农业生产区（设施农业），以蔬菜、粮食等种植为主。</w:t>
      </w:r>
    </w:p>
    <w:p w14:paraId="5707F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“多楔”，即多个山体绿楔、滨水绿楔。“山体绿楔”，即以生物廊道为基础，利用山体植被覆盖优良区域，形成绿楔入城；“滨水绿楔”，即许河、原村河、野川河、东大河、大东仓河、小东仓河。</w:t>
      </w:r>
    </w:p>
    <w:p w14:paraId="0339687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“一核”，即中心城区</w:t>
      </w:r>
      <w:r>
        <w:rPr>
          <w:rFonts w:hint="eastAsia" w:ascii="Times New Roman" w:hAnsi="Times New Roman" w:eastAsia="仿宋" w:cs="Times New Roman"/>
          <w:sz w:val="28"/>
          <w:szCs w:val="32"/>
          <w:highlight w:val="none"/>
          <w:lang w:val="en-US" w:eastAsia="zh-CN" w:bidi="ar-SA"/>
        </w:rPr>
        <w:t>。完善中心城区综合服务功能，提升教育、医疗、体育、文化等公共服务设施水平，推进基础设施建设，加快老城有机更新，提升城市环境品质，提升就业服务能力，引导人口、产业向县城集聚。</w:t>
      </w:r>
    </w:p>
    <w:p w14:paraId="561ECC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“一轴”，即城乡发展的“动力轴”</w:t>
      </w:r>
      <w:r>
        <w:rPr>
          <w:rFonts w:hint="eastAsia" w:ascii="Times New Roman" w:hAnsi="Times New Roman" w:eastAsia="仿宋" w:cs="Times New Roman"/>
          <w:sz w:val="28"/>
          <w:szCs w:val="32"/>
          <w:highlight w:val="none"/>
          <w:lang w:val="en-US" w:eastAsia="zh-CN" w:bidi="ar-SA"/>
        </w:rPr>
        <w:t>。将炎帝大道及208国道打造成城乡发展的“动力轴”，串联神农、三甲、河西、米山4个镇及主城区三个街道。围绕“一轴”布局建设学校、医院等，推动基础设施、公共服务设施向乡镇延伸。</w:t>
      </w:r>
    </w:p>
    <w:p w14:paraId="1278BD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“一带”，即文旅康养和乡村振兴融合发展示范带</w:t>
      </w:r>
      <w:r>
        <w:rPr>
          <w:rFonts w:hint="eastAsia" w:ascii="Times New Roman" w:hAnsi="Times New Roman" w:eastAsia="仿宋" w:cs="Times New Roman"/>
          <w:sz w:val="28"/>
          <w:szCs w:val="32"/>
          <w:highlight w:val="none"/>
          <w:lang w:val="en-US" w:eastAsia="zh-CN" w:bidi="ar-SA"/>
        </w:rPr>
        <w:t>。将太行一号旅游公路打造成文旅康养和乡村振兴融合发展示范带，串连乡镇（街道）、农业园区、旅游景区、文保单位，实现农林文旅康三产融合发展。</w:t>
      </w:r>
    </w:p>
    <w:p w14:paraId="00F1CF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两翼”，包含外围多个乡镇。以炎帝大道为主轴，东翼为北诗、石末、陈区、建宁4个乡镇，西翼为野川、原村、马村、寺庄4个乡镇。通过构建更完善的大路网架构，实现所有乡镇15分钟进市区、15分钟上高速，全部融入城乡发展大格局。</w:t>
      </w:r>
    </w:p>
    <w:p w14:paraId="7BED757E">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2.1.3.高平市</w:t>
      </w:r>
      <w:r>
        <w:rPr>
          <w:rFonts w:hint="default" w:ascii="Times New Roman" w:hAnsi="Times New Roman" w:eastAsia="仿宋" w:cs="Times New Roman"/>
          <w:b/>
          <w:bCs/>
          <w:kern w:val="2"/>
          <w:sz w:val="28"/>
          <w:szCs w:val="32"/>
          <w:lang w:val="en-US" w:eastAsia="zh-CN" w:bidi="ar-SA"/>
        </w:rPr>
        <w:t>战略定位</w:t>
      </w:r>
    </w:p>
    <w:p w14:paraId="7D9D79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文化展示新平台。深入挖掘文化内涵，讲好“历史故事”，持续叫响叫亮“神农炎帝故里、长平之战发生地、上党梆子之乡、中国古建博物馆”四张文化名片。</w:t>
      </w:r>
    </w:p>
    <w:p w14:paraId="06AE3B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转型升级新高地。聚焦新基建、新技术、新材料、新装备、新产品、新业态“六新”突破，推进工业和信息化高质量转型发展。充分发挥资源型产业的优势，并加快产业升级与转型，大力发展接续产业，推动装备制造、新材料等新兴制造业的发展。</w:t>
      </w:r>
    </w:p>
    <w:p w14:paraId="201DF9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现代农业新标杆。全面推进乡村振兴，打造宜居宜业宜游的美丽高平。发展有机旱作农业，培育果品、小杂粮、蔬菜等农产品特色基地。</w:t>
      </w:r>
    </w:p>
    <w:p w14:paraId="76A39E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宜居宜业新家园。在大健康、大康养、大文旅深度融合、竞相发展的格局下，着力打造富有高平特色的康养事业、康养产业，以康养助推高质量发展、人民高品质生活。</w:t>
      </w:r>
    </w:p>
    <w:p w14:paraId="6A4B621D">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14" w:name="_Toc27130"/>
      <w:r>
        <w:rPr>
          <w:rFonts w:hint="eastAsia" w:ascii="Times New Roman" w:hAnsi="Times New Roman" w:eastAsia="仿宋" w:cs="Times New Roman"/>
          <w:b/>
          <w:bCs/>
          <w:kern w:val="2"/>
          <w:sz w:val="32"/>
          <w:szCs w:val="32"/>
          <w:lang w:val="en-US" w:eastAsia="zh-CN"/>
        </w:rPr>
        <w:t>2.2</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片区</w:t>
      </w:r>
      <w:r>
        <w:rPr>
          <w:rFonts w:hint="default"/>
          <w:sz w:val="32"/>
          <w:szCs w:val="32"/>
          <w:highlight w:val="none"/>
          <w:lang w:val="en-US" w:eastAsia="zh-CN"/>
        </w:rPr>
        <w:t>位置、面积和范围</w:t>
      </w:r>
      <w:bookmarkEnd w:id="14"/>
    </w:p>
    <w:p w14:paraId="4F56F9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sz w:val="28"/>
          <w:szCs w:val="28"/>
          <w:highlight w:val="none"/>
          <w:lang w:eastAsia="zh-CN" w:bidi="ar-SA"/>
        </w:rPr>
      </w:pPr>
      <w:r>
        <w:rPr>
          <w:rFonts w:hint="eastAsia" w:ascii="Times New Roman" w:hAnsi="Times New Roman" w:eastAsia="仿宋" w:cs="Times New Roman"/>
          <w:sz w:val="28"/>
          <w:szCs w:val="32"/>
          <w:highlight w:val="none"/>
          <w:lang w:val="en-US" w:eastAsia="zh-CN" w:bidi="ar-SA"/>
        </w:rPr>
        <w:t>结合高平发展特点，按照国家新型城镇化示范县城建设要求，参考城市总规和国土空间规划，考虑主城区、大县城空间布局和外围乡镇产业布局，本</w:t>
      </w:r>
      <w:r>
        <w:rPr>
          <w:rFonts w:hint="default" w:ascii="Times New Roman" w:hAnsi="Times New Roman" w:eastAsia="仿宋" w:cs="Times New Roman"/>
          <w:sz w:val="28"/>
          <w:szCs w:val="32"/>
          <w:highlight w:val="none"/>
          <w:lang w:eastAsia="zh-CN" w:bidi="ar-SA"/>
        </w:rPr>
        <w:t>方案</w:t>
      </w:r>
      <w:r>
        <w:rPr>
          <w:rFonts w:hint="eastAsia" w:ascii="Times New Roman" w:hAnsi="Times New Roman" w:eastAsia="仿宋" w:cs="Times New Roman"/>
          <w:sz w:val="28"/>
          <w:szCs w:val="32"/>
          <w:highlight w:val="none"/>
          <w:lang w:val="en-US" w:eastAsia="zh-CN" w:bidi="ar-SA"/>
        </w:rPr>
        <w:t>涉及</w:t>
      </w:r>
      <w:r>
        <w:rPr>
          <w:rFonts w:hint="eastAsia" w:ascii="Times New Roman" w:hAnsi="Times New Roman" w:eastAsia="仿宋" w:cs="Times New Roman"/>
          <w:sz w:val="28"/>
          <w:szCs w:val="28"/>
          <w:highlight w:val="none"/>
          <w:lang w:val="en-US" w:eastAsia="zh-CN" w:bidi="ar-SA"/>
        </w:rPr>
        <w:t>8个</w:t>
      </w:r>
      <w:r>
        <w:rPr>
          <w:rFonts w:hint="default" w:ascii="Times New Roman" w:hAnsi="Times New Roman" w:eastAsia="仿宋" w:cs="Times New Roman"/>
          <w:sz w:val="28"/>
          <w:szCs w:val="28"/>
          <w:highlight w:val="none"/>
          <w:lang w:val="en-US" w:eastAsia="zh-CN" w:bidi="ar-SA"/>
        </w:rPr>
        <w:t>片区</w:t>
      </w:r>
      <w:r>
        <w:rPr>
          <w:rFonts w:hint="eastAsia" w:ascii="Times New Roman" w:hAnsi="Times New Roman" w:eastAsia="仿宋" w:cs="Times New Roman"/>
          <w:sz w:val="28"/>
          <w:szCs w:val="28"/>
          <w:highlight w:val="none"/>
          <w:lang w:val="en-US" w:eastAsia="zh-CN" w:bidi="ar-SA"/>
        </w:rPr>
        <w:t>，分别为三甲南片区、米山北工业片区、米山道路片区、高铁新区A片区、苏庄商业片区1、苏庄商业片区2、许庄物流片区、建宁商业片区，</w:t>
      </w:r>
      <w:r>
        <w:rPr>
          <w:rFonts w:hint="default" w:ascii="Times New Roman" w:hAnsi="Times New Roman" w:eastAsia="仿宋" w:cs="Times New Roman"/>
          <w:sz w:val="28"/>
          <w:szCs w:val="28"/>
          <w:highlight w:val="none"/>
          <w:lang w:bidi="ar-SA"/>
        </w:rPr>
        <w:t>片区面积共计</w:t>
      </w:r>
      <w:r>
        <w:rPr>
          <w:rFonts w:hint="eastAsia" w:ascii="Times New Roman" w:hAnsi="Times New Roman" w:eastAsia="仿宋" w:cs="Times New Roman"/>
          <w:sz w:val="28"/>
          <w:szCs w:val="28"/>
          <w:highlight w:val="none"/>
          <w:lang w:val="en-US" w:eastAsia="zh-CN" w:bidi="ar-SA"/>
        </w:rPr>
        <w:t>66.0992</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共9个</w:t>
      </w:r>
      <w:r>
        <w:rPr>
          <w:rFonts w:hint="default" w:ascii="Times New Roman" w:hAnsi="Times New Roman" w:eastAsia="仿宋" w:cs="Times New Roman"/>
          <w:sz w:val="28"/>
          <w:szCs w:val="28"/>
          <w:highlight w:val="none"/>
          <w:lang w:bidi="ar-SA"/>
        </w:rPr>
        <w:t>项目，项目</w:t>
      </w:r>
      <w:r>
        <w:rPr>
          <w:rFonts w:hint="eastAsia" w:ascii="Times New Roman" w:hAnsi="Times New Roman" w:eastAsia="仿宋" w:cs="Times New Roman"/>
          <w:sz w:val="28"/>
          <w:szCs w:val="28"/>
          <w:highlight w:val="none"/>
          <w:lang w:val="en-US" w:eastAsia="zh-CN" w:bidi="ar-SA"/>
        </w:rPr>
        <w:t>用地</w:t>
      </w:r>
      <w:r>
        <w:rPr>
          <w:rFonts w:hint="default" w:ascii="Times New Roman" w:hAnsi="Times New Roman" w:eastAsia="仿宋" w:cs="Times New Roman"/>
          <w:sz w:val="28"/>
          <w:szCs w:val="28"/>
          <w:highlight w:val="none"/>
          <w:lang w:bidi="ar-SA"/>
        </w:rPr>
        <w:t>面积</w:t>
      </w:r>
      <w:r>
        <w:rPr>
          <w:rFonts w:hint="eastAsia" w:ascii="Times New Roman" w:hAnsi="Times New Roman" w:eastAsia="仿宋" w:cs="Times New Roman"/>
          <w:sz w:val="28"/>
          <w:szCs w:val="28"/>
          <w:highlight w:val="none"/>
          <w:lang w:val="en-US" w:eastAsia="zh-CN" w:bidi="ar-SA"/>
        </w:rPr>
        <w:t>45.9447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拟</w:t>
      </w:r>
      <w:r>
        <w:rPr>
          <w:rFonts w:hint="default" w:ascii="Times New Roman" w:hAnsi="Times New Roman" w:eastAsia="仿宋" w:cs="Times New Roman"/>
          <w:sz w:val="28"/>
          <w:szCs w:val="28"/>
          <w:highlight w:val="none"/>
          <w:lang w:bidi="ar-SA"/>
        </w:rPr>
        <w:t>征收面积</w:t>
      </w:r>
      <w:r>
        <w:rPr>
          <w:rFonts w:hint="eastAsia" w:ascii="Times New Roman" w:hAnsi="Times New Roman" w:eastAsia="仿宋" w:cs="Times New Roman"/>
          <w:sz w:val="28"/>
          <w:szCs w:val="28"/>
          <w:highlight w:val="none"/>
          <w:lang w:val="en-US" w:eastAsia="zh-CN" w:bidi="ar-SA"/>
        </w:rPr>
        <w:t>45.4997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详</w:t>
      </w:r>
      <w:r>
        <w:rPr>
          <w:rFonts w:hint="default" w:ascii="Times New Roman" w:hAnsi="Times New Roman" w:eastAsia="仿宋" w:cs="Times New Roman"/>
          <w:sz w:val="28"/>
          <w:szCs w:val="28"/>
          <w:highlight w:val="none"/>
          <w:lang w:bidi="ar-SA"/>
        </w:rPr>
        <w:t>见表2-1</w:t>
      </w:r>
      <w:r>
        <w:rPr>
          <w:rFonts w:hint="eastAsia" w:ascii="Times New Roman" w:hAnsi="Times New Roman" w:eastAsia="仿宋" w:cs="Times New Roman"/>
          <w:sz w:val="28"/>
          <w:szCs w:val="28"/>
          <w:highlight w:val="none"/>
          <w:lang w:eastAsia="zh-CN" w:bidi="ar-SA"/>
        </w:rPr>
        <w:t>。</w:t>
      </w:r>
    </w:p>
    <w:p w14:paraId="470C9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48CE4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type w:val="continuous"/>
          <w:pgSz w:w="11906" w:h="16838"/>
          <w:pgMar w:top="1440" w:right="1800" w:bottom="1440" w:left="1800" w:header="851" w:footer="992" w:gutter="0"/>
          <w:pgNumType w:fmt="decimal" w:start="1"/>
          <w:cols w:space="425" w:num="1"/>
          <w:docGrid w:type="lines" w:linePitch="312" w:charSpace="0"/>
        </w:sectPr>
      </w:pPr>
    </w:p>
    <w:p w14:paraId="3018C4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黑体" w:cs="Times New Roman"/>
          <w:kern w:val="2"/>
          <w:sz w:val="24"/>
          <w:szCs w:val="24"/>
          <w:highlight w:val="none"/>
          <w:lang w:val="en-US" w:eastAsia="zh-CN" w:bidi="ar-SA"/>
        </w:rPr>
        <w:t>表2-1各片区详细信息一览表</w:t>
      </w:r>
    </w:p>
    <w:p w14:paraId="2B3334C0">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（单位：公顷、个）</w:t>
      </w:r>
    </w:p>
    <w:tbl>
      <w:tblPr>
        <w:tblStyle w:val="1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905"/>
        <w:gridCol w:w="1740"/>
        <w:gridCol w:w="4904"/>
        <w:gridCol w:w="1188"/>
        <w:gridCol w:w="1247"/>
        <w:gridCol w:w="1247"/>
        <w:gridCol w:w="1188"/>
      </w:tblGrid>
      <w:tr w14:paraId="56763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63" w:type="pct"/>
            <w:tcBorders>
              <w:bottom w:val="single" w:color="000000" w:sz="8" w:space="0"/>
              <w:right w:val="single" w:color="000000" w:sz="8" w:space="0"/>
            </w:tcBorders>
            <w:shd w:val="clear" w:color="auto" w:fill="auto"/>
            <w:noWrap/>
            <w:vAlign w:val="center"/>
          </w:tcPr>
          <w:p w14:paraId="11EB7F41">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672" w:type="pct"/>
            <w:tcBorders>
              <w:left w:val="nil"/>
              <w:bottom w:val="single" w:color="000000" w:sz="8" w:space="0"/>
              <w:right w:val="single" w:color="000000" w:sz="8" w:space="0"/>
            </w:tcBorders>
            <w:shd w:val="clear" w:color="auto" w:fill="auto"/>
            <w:noWrap/>
            <w:vAlign w:val="center"/>
          </w:tcPr>
          <w:p w14:paraId="3AD43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片区名称</w:t>
            </w:r>
          </w:p>
        </w:tc>
        <w:tc>
          <w:tcPr>
            <w:tcW w:w="614" w:type="pct"/>
            <w:tcBorders>
              <w:left w:val="nil"/>
              <w:bottom w:val="single" w:color="000000" w:sz="8" w:space="0"/>
              <w:right w:val="single" w:color="000000" w:sz="8" w:space="0"/>
            </w:tcBorders>
            <w:shd w:val="clear" w:color="auto" w:fill="auto"/>
            <w:noWrap/>
            <w:vAlign w:val="center"/>
          </w:tcPr>
          <w:p w14:paraId="31937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所在乡镇</w:t>
            </w:r>
          </w:p>
        </w:tc>
        <w:tc>
          <w:tcPr>
            <w:tcW w:w="1730" w:type="pct"/>
            <w:tcBorders>
              <w:left w:val="nil"/>
              <w:bottom w:val="single" w:color="000000" w:sz="8" w:space="0"/>
              <w:right w:val="single" w:color="000000" w:sz="8" w:space="0"/>
            </w:tcBorders>
            <w:shd w:val="clear" w:color="auto" w:fill="auto"/>
            <w:vAlign w:val="center"/>
          </w:tcPr>
          <w:p w14:paraId="7513E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具体位置</w:t>
            </w:r>
          </w:p>
        </w:tc>
        <w:tc>
          <w:tcPr>
            <w:tcW w:w="419" w:type="pct"/>
            <w:tcBorders>
              <w:left w:val="nil"/>
              <w:bottom w:val="single" w:color="000000" w:sz="8" w:space="0"/>
              <w:right w:val="single" w:color="000000" w:sz="8" w:space="0"/>
            </w:tcBorders>
            <w:shd w:val="clear" w:color="auto" w:fill="auto"/>
            <w:noWrap/>
            <w:vAlign w:val="center"/>
          </w:tcPr>
          <w:p w14:paraId="43AED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片区面积</w:t>
            </w:r>
          </w:p>
        </w:tc>
        <w:tc>
          <w:tcPr>
            <w:tcW w:w="440" w:type="pct"/>
            <w:tcBorders>
              <w:left w:val="nil"/>
              <w:bottom w:val="single" w:color="000000" w:sz="8" w:space="0"/>
              <w:right w:val="single" w:color="000000" w:sz="8" w:space="0"/>
            </w:tcBorders>
            <w:shd w:val="clear" w:color="auto" w:fill="auto"/>
            <w:noWrap/>
            <w:vAlign w:val="center"/>
          </w:tcPr>
          <w:p w14:paraId="00B06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用地面积</w:t>
            </w:r>
          </w:p>
        </w:tc>
        <w:tc>
          <w:tcPr>
            <w:tcW w:w="440" w:type="pct"/>
            <w:tcBorders>
              <w:left w:val="nil"/>
              <w:bottom w:val="single" w:color="000000" w:sz="8" w:space="0"/>
              <w:right w:val="single" w:color="000000" w:sz="8" w:space="0"/>
            </w:tcBorders>
            <w:shd w:val="clear" w:color="auto" w:fill="auto"/>
            <w:noWrap/>
            <w:vAlign w:val="center"/>
          </w:tcPr>
          <w:p w14:paraId="1F260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征收面积</w:t>
            </w:r>
          </w:p>
        </w:tc>
        <w:tc>
          <w:tcPr>
            <w:tcW w:w="419" w:type="pct"/>
            <w:tcBorders>
              <w:left w:val="nil"/>
              <w:bottom w:val="single" w:color="000000" w:sz="8" w:space="0"/>
            </w:tcBorders>
            <w:shd w:val="clear" w:color="auto" w:fill="auto"/>
            <w:noWrap/>
            <w:vAlign w:val="center"/>
          </w:tcPr>
          <w:p w14:paraId="1330A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项目数量</w:t>
            </w:r>
          </w:p>
        </w:tc>
      </w:tr>
      <w:tr w14:paraId="75FBA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77E2F11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72" w:type="pct"/>
            <w:tcBorders>
              <w:top w:val="nil"/>
              <w:left w:val="nil"/>
              <w:bottom w:val="single" w:color="000000" w:sz="8" w:space="0"/>
              <w:right w:val="single" w:color="000000" w:sz="8" w:space="0"/>
            </w:tcBorders>
            <w:shd w:val="clear" w:color="auto" w:fill="auto"/>
            <w:noWrap/>
            <w:vAlign w:val="center"/>
          </w:tcPr>
          <w:p w14:paraId="5E47FB0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三甲南片区</w:t>
            </w:r>
          </w:p>
        </w:tc>
        <w:tc>
          <w:tcPr>
            <w:tcW w:w="614" w:type="pct"/>
            <w:tcBorders>
              <w:top w:val="nil"/>
              <w:left w:val="nil"/>
              <w:bottom w:val="single" w:color="000000" w:sz="8" w:space="0"/>
              <w:right w:val="single" w:color="000000" w:sz="8" w:space="0"/>
            </w:tcBorders>
            <w:shd w:val="clear" w:color="auto" w:fill="auto"/>
            <w:noWrap/>
            <w:vAlign w:val="center"/>
          </w:tcPr>
          <w:p w14:paraId="216F649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三甲镇</w:t>
            </w:r>
          </w:p>
        </w:tc>
        <w:tc>
          <w:tcPr>
            <w:tcW w:w="1730" w:type="pct"/>
            <w:tcBorders>
              <w:top w:val="nil"/>
              <w:left w:val="nil"/>
              <w:bottom w:val="single" w:color="000000" w:sz="8" w:space="0"/>
              <w:right w:val="single" w:color="000000" w:sz="8" w:space="0"/>
            </w:tcBorders>
            <w:shd w:val="clear" w:color="auto" w:fill="auto"/>
            <w:vAlign w:val="center"/>
          </w:tcPr>
          <w:p w14:paraId="53A4E19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东边100米为二广高速，西边400米为G208炎帝大道，北1500米为三甲镇政府，南400米为北李村</w:t>
            </w:r>
          </w:p>
        </w:tc>
        <w:tc>
          <w:tcPr>
            <w:tcW w:w="1188" w:type="dxa"/>
            <w:tcBorders>
              <w:top w:val="nil"/>
              <w:left w:val="nil"/>
              <w:bottom w:val="single" w:color="000000" w:sz="8" w:space="0"/>
              <w:right w:val="single" w:color="000000" w:sz="8" w:space="0"/>
            </w:tcBorders>
            <w:shd w:val="clear" w:color="auto" w:fill="auto"/>
            <w:noWrap/>
            <w:vAlign w:val="center"/>
          </w:tcPr>
          <w:p w14:paraId="4FDA1E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4.2528</w:t>
            </w:r>
          </w:p>
        </w:tc>
        <w:tc>
          <w:tcPr>
            <w:tcW w:w="1247" w:type="dxa"/>
            <w:tcBorders>
              <w:top w:val="nil"/>
              <w:left w:val="nil"/>
              <w:bottom w:val="single" w:color="000000" w:sz="8" w:space="0"/>
              <w:right w:val="single" w:color="000000" w:sz="8" w:space="0"/>
            </w:tcBorders>
            <w:shd w:val="clear" w:color="auto" w:fill="auto"/>
            <w:noWrap/>
            <w:vAlign w:val="center"/>
          </w:tcPr>
          <w:p w14:paraId="1BA7B0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1247" w:type="dxa"/>
            <w:tcBorders>
              <w:top w:val="nil"/>
              <w:left w:val="nil"/>
              <w:bottom w:val="single" w:color="000000" w:sz="8" w:space="0"/>
              <w:right w:val="single" w:color="000000" w:sz="8" w:space="0"/>
            </w:tcBorders>
            <w:shd w:val="clear" w:color="auto" w:fill="auto"/>
            <w:noWrap/>
            <w:vAlign w:val="center"/>
          </w:tcPr>
          <w:p w14:paraId="430FD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419" w:type="pct"/>
            <w:tcBorders>
              <w:top w:val="nil"/>
              <w:left w:val="nil"/>
              <w:bottom w:val="single" w:color="000000" w:sz="8" w:space="0"/>
            </w:tcBorders>
            <w:shd w:val="clear" w:color="auto" w:fill="auto"/>
            <w:noWrap/>
            <w:vAlign w:val="center"/>
          </w:tcPr>
          <w:p w14:paraId="1DAEB8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10B0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E28B44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72" w:type="pct"/>
            <w:tcBorders>
              <w:top w:val="nil"/>
              <w:left w:val="nil"/>
              <w:bottom w:val="single" w:color="000000" w:sz="8" w:space="0"/>
              <w:right w:val="single" w:color="000000" w:sz="8" w:space="0"/>
            </w:tcBorders>
            <w:shd w:val="clear" w:color="auto" w:fill="auto"/>
            <w:noWrap/>
            <w:vAlign w:val="center"/>
          </w:tcPr>
          <w:p w14:paraId="51B27CF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米山北工业片区</w:t>
            </w:r>
          </w:p>
        </w:tc>
        <w:tc>
          <w:tcPr>
            <w:tcW w:w="614" w:type="pct"/>
            <w:tcBorders>
              <w:top w:val="nil"/>
              <w:left w:val="nil"/>
              <w:bottom w:val="single" w:color="000000" w:sz="8" w:space="0"/>
              <w:right w:val="single" w:color="000000" w:sz="8" w:space="0"/>
            </w:tcBorders>
            <w:shd w:val="clear" w:color="auto" w:fill="auto"/>
            <w:noWrap/>
            <w:vAlign w:val="center"/>
          </w:tcPr>
          <w:p w14:paraId="47E846A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米山镇、陈区镇</w:t>
            </w:r>
          </w:p>
        </w:tc>
        <w:tc>
          <w:tcPr>
            <w:tcW w:w="1730" w:type="pct"/>
            <w:tcBorders>
              <w:top w:val="nil"/>
              <w:left w:val="nil"/>
              <w:bottom w:val="single" w:color="000000" w:sz="8" w:space="0"/>
              <w:right w:val="single" w:color="000000" w:sz="8" w:space="0"/>
            </w:tcBorders>
            <w:shd w:val="clear" w:color="auto" w:fill="auto"/>
            <w:vAlign w:val="center"/>
          </w:tcPr>
          <w:p w14:paraId="0071FD7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北200米为善养村，西至S331坪曲线，距南坡村300米，南至鸿福苑</w:t>
            </w:r>
          </w:p>
        </w:tc>
        <w:tc>
          <w:tcPr>
            <w:tcW w:w="1188" w:type="dxa"/>
            <w:tcBorders>
              <w:top w:val="nil"/>
              <w:left w:val="nil"/>
              <w:bottom w:val="single" w:color="000000" w:sz="8" w:space="0"/>
              <w:right w:val="single" w:color="000000" w:sz="8" w:space="0"/>
            </w:tcBorders>
            <w:shd w:val="clear" w:color="auto" w:fill="auto"/>
            <w:noWrap/>
            <w:vAlign w:val="center"/>
          </w:tcPr>
          <w:p w14:paraId="27D1C4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36.5672</w:t>
            </w:r>
          </w:p>
        </w:tc>
        <w:tc>
          <w:tcPr>
            <w:tcW w:w="1247" w:type="dxa"/>
            <w:tcBorders>
              <w:top w:val="nil"/>
              <w:left w:val="nil"/>
              <w:bottom w:val="single" w:color="000000" w:sz="8" w:space="0"/>
              <w:right w:val="single" w:color="000000" w:sz="8" w:space="0"/>
            </w:tcBorders>
            <w:shd w:val="clear" w:color="auto" w:fill="auto"/>
            <w:noWrap/>
            <w:vAlign w:val="center"/>
          </w:tcPr>
          <w:p w14:paraId="4EEAAB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1247" w:type="dxa"/>
            <w:tcBorders>
              <w:top w:val="nil"/>
              <w:left w:val="nil"/>
              <w:bottom w:val="single" w:color="000000" w:sz="8" w:space="0"/>
              <w:right w:val="single" w:color="000000" w:sz="8" w:space="0"/>
            </w:tcBorders>
            <w:shd w:val="clear" w:color="auto" w:fill="auto"/>
            <w:noWrap/>
            <w:vAlign w:val="center"/>
          </w:tcPr>
          <w:p w14:paraId="4A2454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419" w:type="pct"/>
            <w:tcBorders>
              <w:top w:val="nil"/>
              <w:left w:val="nil"/>
              <w:bottom w:val="single" w:color="000000" w:sz="8" w:space="0"/>
            </w:tcBorders>
            <w:shd w:val="clear" w:color="auto" w:fill="auto"/>
            <w:noWrap/>
            <w:vAlign w:val="center"/>
          </w:tcPr>
          <w:p w14:paraId="28872E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389F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59F90C4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72" w:type="pct"/>
            <w:tcBorders>
              <w:top w:val="nil"/>
              <w:left w:val="nil"/>
              <w:bottom w:val="single" w:color="000000" w:sz="8" w:space="0"/>
              <w:right w:val="single" w:color="000000" w:sz="8" w:space="0"/>
            </w:tcBorders>
            <w:shd w:val="clear" w:color="auto" w:fill="auto"/>
            <w:noWrap/>
            <w:vAlign w:val="center"/>
          </w:tcPr>
          <w:p w14:paraId="5AA398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米山道路片区</w:t>
            </w:r>
          </w:p>
        </w:tc>
        <w:tc>
          <w:tcPr>
            <w:tcW w:w="614" w:type="pct"/>
            <w:tcBorders>
              <w:top w:val="nil"/>
              <w:left w:val="nil"/>
              <w:bottom w:val="single" w:color="000000" w:sz="8" w:space="0"/>
              <w:right w:val="single" w:color="000000" w:sz="8" w:space="0"/>
            </w:tcBorders>
            <w:shd w:val="clear" w:color="auto" w:fill="auto"/>
            <w:noWrap/>
            <w:vAlign w:val="center"/>
          </w:tcPr>
          <w:p w14:paraId="15A7A2B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w:t>
            </w:r>
          </w:p>
        </w:tc>
        <w:tc>
          <w:tcPr>
            <w:tcW w:w="1730" w:type="pct"/>
            <w:tcBorders>
              <w:top w:val="nil"/>
              <w:left w:val="nil"/>
              <w:bottom w:val="single" w:color="000000" w:sz="8" w:space="0"/>
              <w:right w:val="single" w:color="000000" w:sz="8" w:space="0"/>
            </w:tcBorders>
            <w:shd w:val="clear" w:color="auto" w:fill="auto"/>
            <w:vAlign w:val="center"/>
          </w:tcPr>
          <w:p w14:paraId="05851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位于米东村东南，北至S331坪曲线，西南南至中共高平市委党校，东900米为河东村</w:t>
            </w:r>
          </w:p>
        </w:tc>
        <w:tc>
          <w:tcPr>
            <w:tcW w:w="1188" w:type="dxa"/>
            <w:tcBorders>
              <w:top w:val="nil"/>
              <w:left w:val="nil"/>
              <w:bottom w:val="single" w:color="000000" w:sz="8" w:space="0"/>
              <w:right w:val="single" w:color="000000" w:sz="8" w:space="0"/>
            </w:tcBorders>
            <w:shd w:val="clear" w:color="auto" w:fill="auto"/>
            <w:noWrap/>
            <w:vAlign w:val="center"/>
          </w:tcPr>
          <w:p w14:paraId="64B88B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16.8471</w:t>
            </w:r>
          </w:p>
        </w:tc>
        <w:tc>
          <w:tcPr>
            <w:tcW w:w="1247" w:type="dxa"/>
            <w:tcBorders>
              <w:top w:val="nil"/>
              <w:left w:val="nil"/>
              <w:bottom w:val="single" w:color="000000" w:sz="8" w:space="0"/>
              <w:right w:val="single" w:color="000000" w:sz="8" w:space="0"/>
            </w:tcBorders>
            <w:shd w:val="clear" w:color="auto" w:fill="auto"/>
            <w:noWrap/>
            <w:vAlign w:val="center"/>
          </w:tcPr>
          <w:p w14:paraId="5B9FB9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1247" w:type="dxa"/>
            <w:tcBorders>
              <w:top w:val="nil"/>
              <w:left w:val="nil"/>
              <w:bottom w:val="single" w:color="000000" w:sz="8" w:space="0"/>
              <w:right w:val="single" w:color="000000" w:sz="8" w:space="0"/>
            </w:tcBorders>
            <w:shd w:val="clear" w:color="auto" w:fill="auto"/>
            <w:noWrap/>
            <w:vAlign w:val="center"/>
          </w:tcPr>
          <w:p w14:paraId="117E7B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419" w:type="pct"/>
            <w:tcBorders>
              <w:top w:val="nil"/>
              <w:left w:val="nil"/>
              <w:bottom w:val="single" w:color="000000" w:sz="8" w:space="0"/>
            </w:tcBorders>
            <w:shd w:val="clear" w:color="auto" w:fill="auto"/>
            <w:noWrap/>
            <w:vAlign w:val="center"/>
          </w:tcPr>
          <w:p w14:paraId="71C24C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E869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A68293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72" w:type="pct"/>
            <w:tcBorders>
              <w:top w:val="nil"/>
              <w:left w:val="nil"/>
              <w:bottom w:val="single" w:color="000000" w:sz="8" w:space="0"/>
              <w:right w:val="single" w:color="000000" w:sz="8" w:space="0"/>
            </w:tcBorders>
            <w:shd w:val="clear" w:color="auto" w:fill="auto"/>
            <w:noWrap/>
            <w:vAlign w:val="center"/>
          </w:tcPr>
          <w:p w14:paraId="0DA8935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高铁新区A片区</w:t>
            </w:r>
          </w:p>
        </w:tc>
        <w:tc>
          <w:tcPr>
            <w:tcW w:w="614" w:type="pct"/>
            <w:tcBorders>
              <w:top w:val="nil"/>
              <w:left w:val="nil"/>
              <w:bottom w:val="single" w:color="000000" w:sz="8" w:space="0"/>
              <w:right w:val="single" w:color="000000" w:sz="8" w:space="0"/>
            </w:tcBorders>
            <w:shd w:val="clear" w:color="auto" w:fill="auto"/>
            <w:noWrap/>
            <w:vAlign w:val="center"/>
          </w:tcPr>
          <w:p w14:paraId="1C2F932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63C3D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位于高平东站西北部，西至二淅线，东至山西省高平市凯永生物科技有限公司</w:t>
            </w:r>
          </w:p>
        </w:tc>
        <w:tc>
          <w:tcPr>
            <w:tcW w:w="1188" w:type="dxa"/>
            <w:tcBorders>
              <w:top w:val="nil"/>
              <w:left w:val="nil"/>
              <w:bottom w:val="single" w:color="000000" w:sz="8" w:space="0"/>
              <w:right w:val="single" w:color="000000" w:sz="8" w:space="0"/>
            </w:tcBorders>
            <w:shd w:val="clear" w:color="auto" w:fill="auto"/>
            <w:noWrap/>
            <w:vAlign w:val="center"/>
          </w:tcPr>
          <w:p w14:paraId="050BBB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1.9136</w:t>
            </w:r>
          </w:p>
        </w:tc>
        <w:tc>
          <w:tcPr>
            <w:tcW w:w="1247" w:type="dxa"/>
            <w:tcBorders>
              <w:top w:val="nil"/>
              <w:left w:val="nil"/>
              <w:bottom w:val="single" w:color="000000" w:sz="8" w:space="0"/>
              <w:right w:val="single" w:color="000000" w:sz="8" w:space="0"/>
            </w:tcBorders>
            <w:shd w:val="clear" w:color="auto" w:fill="auto"/>
            <w:noWrap/>
            <w:vAlign w:val="center"/>
          </w:tcPr>
          <w:p w14:paraId="35B330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1247" w:type="dxa"/>
            <w:tcBorders>
              <w:top w:val="nil"/>
              <w:left w:val="nil"/>
              <w:bottom w:val="single" w:color="000000" w:sz="8" w:space="0"/>
              <w:right w:val="single" w:color="000000" w:sz="8" w:space="0"/>
            </w:tcBorders>
            <w:shd w:val="clear" w:color="auto" w:fill="auto"/>
            <w:noWrap/>
            <w:vAlign w:val="center"/>
          </w:tcPr>
          <w:p w14:paraId="672EFD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419" w:type="pct"/>
            <w:tcBorders>
              <w:top w:val="nil"/>
              <w:left w:val="nil"/>
              <w:bottom w:val="single" w:color="000000" w:sz="8" w:space="0"/>
            </w:tcBorders>
            <w:shd w:val="clear" w:color="auto" w:fill="auto"/>
            <w:noWrap/>
            <w:vAlign w:val="center"/>
          </w:tcPr>
          <w:p w14:paraId="709782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4173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20EFE94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72" w:type="pct"/>
            <w:tcBorders>
              <w:top w:val="nil"/>
              <w:left w:val="nil"/>
              <w:bottom w:val="single" w:color="000000" w:sz="8" w:space="0"/>
              <w:right w:val="single" w:color="000000" w:sz="8" w:space="0"/>
            </w:tcBorders>
            <w:shd w:val="clear" w:color="auto" w:fill="auto"/>
            <w:noWrap/>
            <w:vAlign w:val="center"/>
          </w:tcPr>
          <w:p w14:paraId="17FF92B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苏庄商业片区1</w:t>
            </w:r>
          </w:p>
        </w:tc>
        <w:tc>
          <w:tcPr>
            <w:tcW w:w="614" w:type="pct"/>
            <w:tcBorders>
              <w:top w:val="nil"/>
              <w:left w:val="nil"/>
              <w:bottom w:val="single" w:color="000000" w:sz="8" w:space="0"/>
              <w:right w:val="single" w:color="000000" w:sz="8" w:space="0"/>
            </w:tcBorders>
            <w:shd w:val="clear" w:color="auto" w:fill="auto"/>
            <w:noWrap/>
            <w:vAlign w:val="center"/>
          </w:tcPr>
          <w:p w14:paraId="7A93A45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2447D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位于北苏庄东北部，龙司线东侧</w:t>
            </w:r>
          </w:p>
        </w:tc>
        <w:tc>
          <w:tcPr>
            <w:tcW w:w="1188" w:type="dxa"/>
            <w:tcBorders>
              <w:top w:val="nil"/>
              <w:left w:val="nil"/>
              <w:bottom w:val="single" w:color="000000" w:sz="8" w:space="0"/>
              <w:right w:val="single" w:color="000000" w:sz="8" w:space="0"/>
            </w:tcBorders>
            <w:shd w:val="clear" w:color="auto" w:fill="auto"/>
            <w:noWrap/>
            <w:vAlign w:val="center"/>
          </w:tcPr>
          <w:p w14:paraId="1B1BF1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3.1105</w:t>
            </w:r>
          </w:p>
        </w:tc>
        <w:tc>
          <w:tcPr>
            <w:tcW w:w="1247" w:type="dxa"/>
            <w:tcBorders>
              <w:top w:val="nil"/>
              <w:left w:val="nil"/>
              <w:bottom w:val="single" w:color="000000" w:sz="8" w:space="0"/>
              <w:right w:val="single" w:color="000000" w:sz="8" w:space="0"/>
            </w:tcBorders>
            <w:shd w:val="clear" w:color="auto" w:fill="auto"/>
            <w:noWrap/>
            <w:vAlign w:val="center"/>
          </w:tcPr>
          <w:p w14:paraId="4C1EED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1247" w:type="dxa"/>
            <w:tcBorders>
              <w:top w:val="nil"/>
              <w:left w:val="nil"/>
              <w:bottom w:val="single" w:color="000000" w:sz="8" w:space="0"/>
              <w:right w:val="single" w:color="000000" w:sz="8" w:space="0"/>
            </w:tcBorders>
            <w:shd w:val="clear" w:color="auto" w:fill="auto"/>
            <w:noWrap/>
            <w:vAlign w:val="center"/>
          </w:tcPr>
          <w:p w14:paraId="0B053B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419" w:type="pct"/>
            <w:tcBorders>
              <w:top w:val="nil"/>
              <w:left w:val="nil"/>
              <w:bottom w:val="single" w:color="000000" w:sz="8" w:space="0"/>
            </w:tcBorders>
            <w:shd w:val="clear" w:color="auto" w:fill="auto"/>
            <w:noWrap/>
            <w:vAlign w:val="center"/>
          </w:tcPr>
          <w:p w14:paraId="3D0EFB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C6A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0483F49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72" w:type="pct"/>
            <w:tcBorders>
              <w:top w:val="nil"/>
              <w:left w:val="nil"/>
              <w:bottom w:val="single" w:color="000000" w:sz="8" w:space="0"/>
              <w:right w:val="single" w:color="000000" w:sz="8" w:space="0"/>
            </w:tcBorders>
            <w:shd w:val="clear" w:color="auto" w:fill="auto"/>
            <w:noWrap/>
            <w:vAlign w:val="center"/>
          </w:tcPr>
          <w:p w14:paraId="061F975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苏庄商业片区2</w:t>
            </w:r>
          </w:p>
        </w:tc>
        <w:tc>
          <w:tcPr>
            <w:tcW w:w="614" w:type="pct"/>
            <w:tcBorders>
              <w:top w:val="nil"/>
              <w:left w:val="nil"/>
              <w:bottom w:val="single" w:color="000000" w:sz="8" w:space="0"/>
              <w:right w:val="single" w:color="000000" w:sz="8" w:space="0"/>
            </w:tcBorders>
            <w:shd w:val="clear" w:color="auto" w:fill="auto"/>
            <w:noWrap/>
            <w:vAlign w:val="center"/>
          </w:tcPr>
          <w:p w14:paraId="4A0BBA7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5D2DB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位于北苏庄中南部，龙司线西侧</w:t>
            </w:r>
          </w:p>
        </w:tc>
        <w:tc>
          <w:tcPr>
            <w:tcW w:w="1188" w:type="dxa"/>
            <w:tcBorders>
              <w:top w:val="nil"/>
              <w:left w:val="nil"/>
              <w:bottom w:val="single" w:color="000000" w:sz="8" w:space="0"/>
              <w:right w:val="single" w:color="000000" w:sz="8" w:space="0"/>
            </w:tcBorders>
            <w:shd w:val="clear" w:color="auto" w:fill="auto"/>
            <w:noWrap/>
            <w:vAlign w:val="center"/>
          </w:tcPr>
          <w:p w14:paraId="3014241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1.0053</w:t>
            </w:r>
          </w:p>
        </w:tc>
        <w:tc>
          <w:tcPr>
            <w:tcW w:w="1247" w:type="dxa"/>
            <w:tcBorders>
              <w:top w:val="nil"/>
              <w:left w:val="nil"/>
              <w:bottom w:val="single" w:color="000000" w:sz="8" w:space="0"/>
              <w:right w:val="single" w:color="000000" w:sz="8" w:space="0"/>
            </w:tcBorders>
            <w:shd w:val="clear" w:color="auto" w:fill="auto"/>
            <w:noWrap/>
            <w:vAlign w:val="center"/>
          </w:tcPr>
          <w:p w14:paraId="7BF9A4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1247" w:type="dxa"/>
            <w:tcBorders>
              <w:top w:val="nil"/>
              <w:left w:val="nil"/>
              <w:bottom w:val="single" w:color="000000" w:sz="8" w:space="0"/>
              <w:right w:val="single" w:color="000000" w:sz="8" w:space="0"/>
            </w:tcBorders>
            <w:shd w:val="clear" w:color="auto" w:fill="auto"/>
            <w:noWrap/>
            <w:vAlign w:val="center"/>
          </w:tcPr>
          <w:p w14:paraId="79A0E1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419" w:type="pct"/>
            <w:tcBorders>
              <w:top w:val="nil"/>
              <w:left w:val="nil"/>
              <w:bottom w:val="single" w:color="000000" w:sz="8" w:space="0"/>
            </w:tcBorders>
            <w:shd w:val="clear" w:color="auto" w:fill="auto"/>
            <w:noWrap/>
            <w:vAlign w:val="center"/>
          </w:tcPr>
          <w:p w14:paraId="7F250B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FEFF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6E90D3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72" w:type="pct"/>
            <w:tcBorders>
              <w:top w:val="nil"/>
              <w:left w:val="nil"/>
              <w:bottom w:val="single" w:color="000000" w:sz="8" w:space="0"/>
              <w:right w:val="single" w:color="000000" w:sz="8" w:space="0"/>
            </w:tcBorders>
            <w:shd w:val="clear" w:color="auto" w:fill="auto"/>
            <w:noWrap/>
            <w:vAlign w:val="center"/>
          </w:tcPr>
          <w:p w14:paraId="54284D6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许庄物流片区</w:t>
            </w:r>
          </w:p>
        </w:tc>
        <w:tc>
          <w:tcPr>
            <w:tcW w:w="614" w:type="pct"/>
            <w:tcBorders>
              <w:top w:val="nil"/>
              <w:left w:val="nil"/>
              <w:bottom w:val="single" w:color="000000" w:sz="8" w:space="0"/>
              <w:right w:val="single" w:color="000000" w:sz="8" w:space="0"/>
            </w:tcBorders>
            <w:shd w:val="clear" w:color="auto" w:fill="auto"/>
            <w:noWrap/>
            <w:vAlign w:val="center"/>
          </w:tcPr>
          <w:p w14:paraId="4B2EEF5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南城街道办</w:t>
            </w:r>
          </w:p>
        </w:tc>
        <w:tc>
          <w:tcPr>
            <w:tcW w:w="1730" w:type="pct"/>
            <w:tcBorders>
              <w:top w:val="nil"/>
              <w:left w:val="nil"/>
              <w:bottom w:val="single" w:color="000000" w:sz="8" w:space="0"/>
              <w:right w:val="single" w:color="000000" w:sz="8" w:space="0"/>
            </w:tcBorders>
            <w:shd w:val="clear" w:color="auto" w:fill="auto"/>
            <w:vAlign w:val="center"/>
          </w:tcPr>
          <w:p w14:paraId="21603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位于太行润源食品有限公司北，西至S227，南800米为向阳村，东350米为铁路线</w:t>
            </w:r>
          </w:p>
        </w:tc>
        <w:tc>
          <w:tcPr>
            <w:tcW w:w="1188" w:type="dxa"/>
            <w:tcBorders>
              <w:top w:val="nil"/>
              <w:left w:val="nil"/>
              <w:bottom w:val="single" w:color="000000" w:sz="8" w:space="0"/>
              <w:right w:val="single" w:color="000000" w:sz="8" w:space="0"/>
            </w:tcBorders>
            <w:shd w:val="clear" w:color="auto" w:fill="auto"/>
            <w:noWrap/>
            <w:vAlign w:val="center"/>
          </w:tcPr>
          <w:p w14:paraId="5BAAD0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45BE5E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63EF59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419" w:type="pct"/>
            <w:tcBorders>
              <w:top w:val="nil"/>
              <w:left w:val="nil"/>
              <w:bottom w:val="single" w:color="000000" w:sz="8" w:space="0"/>
            </w:tcBorders>
            <w:shd w:val="clear" w:color="auto" w:fill="auto"/>
            <w:noWrap/>
            <w:vAlign w:val="center"/>
          </w:tcPr>
          <w:p w14:paraId="4DFD2B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592C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109BF53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72" w:type="pct"/>
            <w:tcBorders>
              <w:top w:val="nil"/>
              <w:left w:val="nil"/>
              <w:bottom w:val="single" w:color="000000" w:sz="8" w:space="0"/>
              <w:right w:val="single" w:color="000000" w:sz="8" w:space="0"/>
            </w:tcBorders>
            <w:shd w:val="clear" w:color="auto" w:fill="auto"/>
            <w:noWrap/>
            <w:vAlign w:val="center"/>
          </w:tcPr>
          <w:p w14:paraId="359B9D4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建宁商业片区</w:t>
            </w:r>
          </w:p>
        </w:tc>
        <w:tc>
          <w:tcPr>
            <w:tcW w:w="614" w:type="pct"/>
            <w:tcBorders>
              <w:top w:val="nil"/>
              <w:left w:val="nil"/>
              <w:bottom w:val="single" w:color="000000" w:sz="8" w:space="0"/>
              <w:right w:val="single" w:color="000000" w:sz="8" w:space="0"/>
            </w:tcBorders>
            <w:shd w:val="clear" w:color="auto" w:fill="auto"/>
            <w:noWrap/>
            <w:vAlign w:val="center"/>
          </w:tcPr>
          <w:p w14:paraId="3171EE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建宁乡</w:t>
            </w:r>
          </w:p>
        </w:tc>
        <w:tc>
          <w:tcPr>
            <w:tcW w:w="1730" w:type="pct"/>
            <w:tcBorders>
              <w:top w:val="nil"/>
              <w:left w:val="nil"/>
              <w:bottom w:val="single" w:color="000000" w:sz="8" w:space="0"/>
              <w:right w:val="single" w:color="000000" w:sz="8" w:space="0"/>
            </w:tcBorders>
            <w:shd w:val="clear" w:color="auto" w:fill="auto"/>
            <w:vAlign w:val="center"/>
          </w:tcPr>
          <w:p w14:paraId="2B02D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位于郭庄东800米，西至兴宁路，南300米为S331</w:t>
            </w:r>
          </w:p>
        </w:tc>
        <w:tc>
          <w:tcPr>
            <w:tcW w:w="1188" w:type="dxa"/>
            <w:tcBorders>
              <w:top w:val="nil"/>
              <w:left w:val="nil"/>
              <w:bottom w:val="single" w:color="000000" w:sz="8" w:space="0"/>
              <w:right w:val="single" w:color="000000" w:sz="8" w:space="0"/>
            </w:tcBorders>
            <w:shd w:val="clear" w:color="auto" w:fill="auto"/>
            <w:noWrap/>
            <w:vAlign w:val="center"/>
          </w:tcPr>
          <w:p w14:paraId="1B1F87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28B0E4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3D8EE8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419" w:type="pct"/>
            <w:tcBorders>
              <w:top w:val="nil"/>
              <w:left w:val="nil"/>
              <w:bottom w:val="single" w:color="000000" w:sz="8" w:space="0"/>
            </w:tcBorders>
            <w:shd w:val="clear" w:color="auto" w:fill="auto"/>
            <w:noWrap/>
            <w:vAlign w:val="center"/>
          </w:tcPr>
          <w:p w14:paraId="235574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DD01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3" w:type="pct"/>
            <w:tcBorders>
              <w:top w:val="nil"/>
              <w:right w:val="single" w:color="000000" w:sz="8" w:space="0"/>
            </w:tcBorders>
            <w:shd w:val="clear" w:color="auto" w:fill="auto"/>
            <w:noWrap/>
            <w:vAlign w:val="center"/>
          </w:tcPr>
          <w:p w14:paraId="2F7B7F4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672" w:type="pct"/>
            <w:tcBorders>
              <w:top w:val="nil"/>
              <w:left w:val="nil"/>
              <w:right w:val="single" w:color="000000" w:sz="8" w:space="0"/>
            </w:tcBorders>
            <w:shd w:val="clear" w:color="auto" w:fill="auto"/>
            <w:noWrap/>
            <w:vAlign w:val="center"/>
          </w:tcPr>
          <w:p w14:paraId="7DCEB317">
            <w:pPr>
              <w:jc w:val="center"/>
              <w:rPr>
                <w:rFonts w:hint="eastAsia" w:ascii="仿宋" w:hAnsi="仿宋" w:eastAsia="仿宋" w:cs="仿宋"/>
                <w:i w:val="0"/>
                <w:iCs w:val="0"/>
                <w:color w:val="000000"/>
                <w:sz w:val="21"/>
                <w:szCs w:val="21"/>
                <w:u w:val="none"/>
              </w:rPr>
            </w:pPr>
          </w:p>
        </w:tc>
        <w:tc>
          <w:tcPr>
            <w:tcW w:w="614" w:type="pct"/>
            <w:tcBorders>
              <w:top w:val="nil"/>
              <w:left w:val="nil"/>
              <w:right w:val="single" w:color="000000" w:sz="8" w:space="0"/>
            </w:tcBorders>
            <w:shd w:val="clear" w:color="auto" w:fill="auto"/>
            <w:noWrap/>
            <w:vAlign w:val="center"/>
          </w:tcPr>
          <w:p w14:paraId="4B83BE31">
            <w:pPr>
              <w:jc w:val="center"/>
              <w:rPr>
                <w:rFonts w:hint="eastAsia" w:ascii="仿宋" w:hAnsi="仿宋" w:eastAsia="仿宋" w:cs="仿宋"/>
                <w:i w:val="0"/>
                <w:iCs w:val="0"/>
                <w:color w:val="000000"/>
                <w:sz w:val="21"/>
                <w:szCs w:val="21"/>
                <w:u w:val="none"/>
              </w:rPr>
            </w:pPr>
          </w:p>
        </w:tc>
        <w:tc>
          <w:tcPr>
            <w:tcW w:w="1730" w:type="pct"/>
            <w:tcBorders>
              <w:top w:val="nil"/>
              <w:left w:val="nil"/>
              <w:right w:val="single" w:color="000000" w:sz="8" w:space="0"/>
            </w:tcBorders>
            <w:shd w:val="clear" w:color="auto" w:fill="auto"/>
            <w:vAlign w:val="center"/>
          </w:tcPr>
          <w:p w14:paraId="2AA3926B">
            <w:pPr>
              <w:jc w:val="center"/>
              <w:rPr>
                <w:rFonts w:hint="default" w:ascii="Times New Roman" w:hAnsi="Times New Roman" w:eastAsia="宋体" w:cs="Times New Roman"/>
                <w:i w:val="0"/>
                <w:iCs w:val="0"/>
                <w:color w:val="000000"/>
                <w:sz w:val="21"/>
                <w:szCs w:val="21"/>
                <w:u w:val="none"/>
              </w:rPr>
            </w:pPr>
          </w:p>
        </w:tc>
        <w:tc>
          <w:tcPr>
            <w:tcW w:w="1188" w:type="dxa"/>
            <w:tcBorders>
              <w:top w:val="nil"/>
              <w:left w:val="nil"/>
              <w:right w:val="single" w:color="000000" w:sz="8" w:space="0"/>
            </w:tcBorders>
            <w:shd w:val="clear" w:color="auto" w:fill="auto"/>
            <w:noWrap/>
            <w:vAlign w:val="center"/>
          </w:tcPr>
          <w:p w14:paraId="3F2C19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66.0992</w:t>
            </w:r>
          </w:p>
        </w:tc>
        <w:tc>
          <w:tcPr>
            <w:tcW w:w="1247" w:type="dxa"/>
            <w:tcBorders>
              <w:top w:val="nil"/>
              <w:left w:val="nil"/>
              <w:right w:val="single" w:color="000000" w:sz="8" w:space="0"/>
            </w:tcBorders>
            <w:shd w:val="clear" w:color="auto" w:fill="auto"/>
            <w:noWrap/>
            <w:vAlign w:val="center"/>
          </w:tcPr>
          <w:p w14:paraId="65D149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1247" w:type="dxa"/>
            <w:tcBorders>
              <w:top w:val="nil"/>
              <w:left w:val="nil"/>
              <w:right w:val="single" w:color="000000" w:sz="8" w:space="0"/>
            </w:tcBorders>
            <w:shd w:val="clear" w:color="auto" w:fill="auto"/>
            <w:noWrap/>
            <w:vAlign w:val="center"/>
          </w:tcPr>
          <w:p w14:paraId="11D0FF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419" w:type="pct"/>
            <w:tcBorders>
              <w:top w:val="nil"/>
              <w:left w:val="nil"/>
            </w:tcBorders>
            <w:shd w:val="clear" w:color="auto" w:fill="auto"/>
            <w:noWrap/>
            <w:vAlign w:val="center"/>
          </w:tcPr>
          <w:p w14:paraId="7C7E9DD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bl>
    <w:p w14:paraId="07F0F7B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11412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29FCD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sectPr>
          <w:footerReference r:id="rId5" w:type="default"/>
          <w:type w:val="continuous"/>
          <w:pgSz w:w="16838" w:h="11906" w:orient="landscape"/>
          <w:pgMar w:top="1803" w:right="1440" w:bottom="1803" w:left="1440" w:header="851" w:footer="992" w:gutter="0"/>
          <w:pgNumType w:fmt="decimal"/>
          <w:cols w:space="0" w:num="1"/>
          <w:rtlGutter w:val="0"/>
          <w:docGrid w:type="lines" w:linePitch="319" w:charSpace="0"/>
        </w:sectPr>
      </w:pPr>
    </w:p>
    <w:p w14:paraId="508E80D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2.2.1.各片区</w:t>
      </w:r>
      <w:r>
        <w:rPr>
          <w:rFonts w:hint="default" w:ascii="Times New Roman" w:hAnsi="Times New Roman" w:eastAsia="仿宋" w:cs="Times New Roman"/>
          <w:b/>
          <w:bCs/>
          <w:kern w:val="2"/>
          <w:sz w:val="28"/>
          <w:szCs w:val="32"/>
          <w:lang w:val="en-US" w:eastAsia="zh-CN" w:bidi="ar-SA"/>
        </w:rPr>
        <w:t>位置、面积和范围</w:t>
      </w:r>
    </w:p>
    <w:p w14:paraId="4F36312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位于三甲镇，具体位置：片区东边100米为二广高速，西边400米为G208炎帝大道，北1500米为三甲镇政府，南400米为北李村。片区面积4.2528公顷，共1个项目，项目用地面积4.2527公顷，拟征收面积4.2527公顷。</w:t>
      </w:r>
    </w:p>
    <w:p w14:paraId="3F0A6EA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highlight w:val="none"/>
          <w:lang w:val="en-US" w:eastAsia="zh-CN" w:bidi="ar-SA"/>
        </w:rPr>
        <w:t>位于米山镇和陈区镇，具体位置：片区北200米为善养村，西至S331坪曲线，据南坡村300米，南至鸿福苑。片区面积36.5672公顷，共2个项目，项目用地面积34.0873公顷，拟征收面积34.0873公顷。</w:t>
      </w:r>
    </w:p>
    <w:p w14:paraId="485ED21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highlight w:val="none"/>
          <w:lang w:val="en-US" w:eastAsia="zh-CN" w:bidi="ar-SA"/>
        </w:rPr>
        <w:t>位于米山镇，具体位置：片区位于米东村东南，北至S331坪曲线，西南南至中共高平市委党校，东900米为河东村。片区面积16.8471公顷，项目用地面积2.0440公顷，拟征收面积2.0440公顷，共1个项目。</w:t>
      </w:r>
    </w:p>
    <w:p w14:paraId="7E456D1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highlight w:val="none"/>
          <w:lang w:val="en-US" w:eastAsia="zh-CN" w:bidi="ar-SA"/>
        </w:rPr>
        <w:t>位于河西镇，具体位置：片区位于高平东站西北部，西至二淅线，东至山西省高平市凯永生物科技有限公司。片区面积1.9136公顷，共1个项目，项目用地面积0.3405公顷，拟征收面积0.3405公顷。</w:t>
      </w:r>
    </w:p>
    <w:p w14:paraId="162CEF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highlight w:val="none"/>
          <w:lang w:val="en-US" w:eastAsia="zh-CN" w:bidi="ar-SA"/>
        </w:rPr>
        <w:t>位于河西镇，具体位置：片区位于北苏庄东北部，龙司线东侧。片区面积3.1105公顷，共1个项目，项目用地面积2.6647公顷，拟征收面积2.6647公顷。</w:t>
      </w:r>
    </w:p>
    <w:p w14:paraId="2D6DD8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highlight w:val="none"/>
          <w:lang w:val="en-US" w:eastAsia="zh-CN" w:bidi="ar-SA"/>
        </w:rPr>
        <w:t>位于河西镇，具体位置：片区位于北苏庄中南部，龙司线西侧。片区面积1.0053公顷，共1个项目，项目用地面积0.1527公顷，拟征收面积0.1527公顷。</w:t>
      </w:r>
    </w:p>
    <w:p w14:paraId="0B1FC0E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highlight w:val="none"/>
          <w:lang w:val="en-US" w:eastAsia="zh-CN" w:bidi="ar-SA"/>
        </w:rPr>
        <w:t>位于南城街道办，具体位置：片区位于太行润源食品有限公司北，西至S227，南800米为向阳村，东350米为铁路线。片区面积2.1951公顷，共1个项目，项目用地面积2.1951公顷，拟征收面积2.1951公顷。</w:t>
      </w:r>
    </w:p>
    <w:p w14:paraId="398FB6F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sz w:val="21"/>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位于建宁乡，具体位置：片区位于郭庄东800米，西至兴宁路，南300米为S331。片区面积0.2077公顷，共1个项目，项目用地面积0.2077公顷，拟征收面积0.2077公顷。</w:t>
      </w:r>
    </w:p>
    <w:p w14:paraId="7690B4C3">
      <w:pPr>
        <w:pStyle w:val="3"/>
        <w:numPr>
          <w:ilvl w:val="1"/>
          <w:numId w:val="0"/>
        </w:numPr>
        <w:tabs>
          <w:tab w:val="clear" w:pos="420"/>
        </w:tabs>
        <w:bidi w:val="0"/>
        <w:ind w:left="575" w:leftChars="0" w:hanging="575" w:firstLineChars="0"/>
        <w:rPr>
          <w:rFonts w:hint="default"/>
          <w:sz w:val="32"/>
          <w:szCs w:val="32"/>
          <w:highlight w:val="none"/>
        </w:rPr>
      </w:pPr>
      <w:bookmarkStart w:id="15" w:name="_Toc7351"/>
      <w:r>
        <w:rPr>
          <w:rFonts w:hint="eastAsia" w:ascii="Times New Roman" w:hAnsi="Times New Roman" w:eastAsia="仿宋" w:cs="Times New Roman"/>
          <w:b/>
          <w:bCs/>
          <w:kern w:val="2"/>
          <w:sz w:val="32"/>
          <w:szCs w:val="32"/>
          <w:highlight w:val="none"/>
          <w:lang w:val="en-US" w:eastAsia="zh-CN"/>
        </w:rPr>
        <w:t>2.3.</w:t>
      </w:r>
      <w:r>
        <w:rPr>
          <w:rFonts w:hint="default"/>
          <w:sz w:val="32"/>
          <w:szCs w:val="32"/>
          <w:highlight w:val="none"/>
        </w:rPr>
        <w:t>土地利用现状情况</w:t>
      </w:r>
      <w:bookmarkEnd w:id="15"/>
    </w:p>
    <w:p w14:paraId="25972A4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highlight w:val="none"/>
          <w:lang w:val="en-US" w:eastAsia="zh-CN" w:bidi="ar-SA"/>
        </w:rPr>
      </w:pPr>
      <w:bookmarkStart w:id="16" w:name="_Toc11093"/>
      <w:r>
        <w:rPr>
          <w:rFonts w:hint="eastAsia" w:ascii="Times New Roman" w:hAnsi="Times New Roman" w:eastAsia="仿宋" w:cs="Times New Roman"/>
          <w:b/>
          <w:bCs/>
          <w:kern w:val="2"/>
          <w:sz w:val="28"/>
          <w:szCs w:val="32"/>
          <w:highlight w:val="none"/>
          <w:lang w:val="en-US" w:eastAsia="zh-CN" w:bidi="ar-SA"/>
        </w:rPr>
        <w:t>2.3.1.</w:t>
      </w:r>
      <w:r>
        <w:rPr>
          <w:rFonts w:hint="default" w:ascii="Times New Roman" w:hAnsi="Times New Roman" w:eastAsia="仿宋" w:cs="Times New Roman"/>
          <w:b/>
          <w:bCs/>
          <w:kern w:val="2"/>
          <w:sz w:val="28"/>
          <w:szCs w:val="32"/>
          <w:highlight w:val="none"/>
          <w:lang w:val="en-US" w:eastAsia="zh-CN" w:bidi="ar-SA"/>
        </w:rPr>
        <w:t>片区范围土地利用现状</w:t>
      </w:r>
      <w:bookmarkEnd w:id="16"/>
    </w:p>
    <w:p w14:paraId="4AB625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，本方案片区总面积为</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公顷，其中农用地</w:t>
      </w:r>
      <w:r>
        <w:rPr>
          <w:rFonts w:hint="eastAsia" w:ascii="Times New Roman" w:hAnsi="Times New Roman" w:eastAsia="仿宋" w:cs="Times New Roman"/>
          <w:sz w:val="28"/>
          <w:szCs w:val="32"/>
          <w:highlight w:val="none"/>
          <w:lang w:val="en-US" w:eastAsia="zh-CN" w:bidi="ar-SA"/>
        </w:rPr>
        <w:t>40.1870</w:t>
      </w:r>
      <w:r>
        <w:rPr>
          <w:rFonts w:hint="default" w:ascii="Times New Roman" w:hAnsi="Times New Roman" w:eastAsia="仿宋" w:cs="Times New Roman"/>
          <w:sz w:val="28"/>
          <w:szCs w:val="32"/>
          <w:highlight w:val="none"/>
          <w:lang w:val="en-US" w:eastAsia="zh-CN" w:bidi="ar-SA"/>
        </w:rPr>
        <w:t>公顷（含耕地</w:t>
      </w:r>
      <w:r>
        <w:rPr>
          <w:rFonts w:hint="eastAsia" w:ascii="Times New Roman" w:hAnsi="Times New Roman" w:eastAsia="仿宋" w:cs="Times New Roman"/>
          <w:sz w:val="28"/>
          <w:szCs w:val="32"/>
          <w:highlight w:val="none"/>
          <w:lang w:val="en-US" w:eastAsia="zh-CN" w:bidi="ar-SA"/>
        </w:rPr>
        <w:t>38.0881</w:t>
      </w:r>
      <w:r>
        <w:rPr>
          <w:rFonts w:hint="default" w:ascii="Times New Roman" w:hAnsi="Times New Roman" w:eastAsia="仿宋" w:cs="Times New Roman"/>
          <w:sz w:val="28"/>
          <w:szCs w:val="32"/>
          <w:highlight w:val="none"/>
          <w:lang w:val="en-US" w:eastAsia="zh-CN" w:bidi="ar-SA"/>
        </w:rPr>
        <w:t>公顷、园地</w:t>
      </w:r>
      <w:r>
        <w:rPr>
          <w:rFonts w:hint="eastAsia" w:ascii="Times New Roman" w:hAnsi="Times New Roman" w:eastAsia="仿宋" w:cs="Times New Roman"/>
          <w:sz w:val="28"/>
          <w:szCs w:val="32"/>
          <w:highlight w:val="none"/>
          <w:lang w:val="en-US" w:eastAsia="zh-CN" w:bidi="ar-SA"/>
        </w:rPr>
        <w:t>1.0600</w:t>
      </w:r>
      <w:r>
        <w:rPr>
          <w:rFonts w:hint="default" w:ascii="Times New Roman" w:hAnsi="Times New Roman" w:eastAsia="仿宋" w:cs="Times New Roman"/>
          <w:sz w:val="28"/>
          <w:szCs w:val="32"/>
          <w:highlight w:val="none"/>
          <w:lang w:val="en-US" w:eastAsia="zh-CN" w:bidi="ar-SA"/>
        </w:rPr>
        <w:t>公顷、林地</w:t>
      </w:r>
      <w:r>
        <w:rPr>
          <w:rFonts w:hint="eastAsia" w:ascii="Times New Roman" w:hAnsi="Times New Roman" w:eastAsia="仿宋" w:cs="Times New Roman"/>
          <w:sz w:val="28"/>
          <w:szCs w:val="32"/>
          <w:highlight w:val="none"/>
          <w:lang w:val="en-US" w:eastAsia="zh-CN" w:bidi="ar-SA"/>
        </w:rPr>
        <w:t>0.3801</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草地0.0308公顷、交通运输用地0.5760公顷、</w:t>
      </w:r>
      <w:r>
        <w:rPr>
          <w:rFonts w:hint="default" w:ascii="Times New Roman" w:hAnsi="Times New Roman" w:eastAsia="仿宋" w:cs="Times New Roman"/>
          <w:sz w:val="28"/>
          <w:szCs w:val="32"/>
          <w:highlight w:val="none"/>
          <w:lang w:val="en-US" w:eastAsia="zh-CN" w:bidi="ar-SA"/>
        </w:rPr>
        <w:t>其他农用地</w:t>
      </w:r>
      <w:r>
        <w:rPr>
          <w:rFonts w:hint="eastAsia" w:ascii="Times New Roman" w:hAnsi="Times New Roman" w:eastAsia="仿宋" w:cs="Times New Roman"/>
          <w:sz w:val="28"/>
          <w:szCs w:val="32"/>
          <w:highlight w:val="none"/>
          <w:lang w:val="en-US" w:eastAsia="zh-CN" w:bidi="ar-SA"/>
        </w:rPr>
        <w:t>0.0521</w:t>
      </w:r>
      <w:r>
        <w:rPr>
          <w:rFonts w:hint="default" w:ascii="Times New Roman" w:hAnsi="Times New Roman" w:eastAsia="仿宋" w:cs="Times New Roman"/>
          <w:sz w:val="28"/>
          <w:szCs w:val="32"/>
          <w:highlight w:val="none"/>
          <w:lang w:val="en-US" w:eastAsia="zh-CN" w:bidi="ar-SA"/>
        </w:rPr>
        <w:t>公顷），建设用地</w:t>
      </w:r>
      <w:r>
        <w:rPr>
          <w:rFonts w:hint="eastAsia" w:ascii="Times New Roman" w:hAnsi="Times New Roman" w:eastAsia="仿宋" w:cs="Times New Roman"/>
          <w:sz w:val="28"/>
          <w:szCs w:val="32"/>
          <w:highlight w:val="none"/>
          <w:lang w:val="en-US" w:eastAsia="zh-CN" w:bidi="ar-SA"/>
        </w:rPr>
        <w:t>25.8731</w:t>
      </w:r>
      <w:r>
        <w:rPr>
          <w:rFonts w:hint="default" w:ascii="Times New Roman" w:hAnsi="Times New Roman" w:eastAsia="仿宋" w:cs="Times New Roman"/>
          <w:sz w:val="28"/>
          <w:szCs w:val="32"/>
          <w:highlight w:val="none"/>
          <w:lang w:val="en-US" w:eastAsia="zh-CN" w:bidi="ar-SA"/>
        </w:rPr>
        <w:t>公顷，未利用地</w:t>
      </w:r>
      <w:r>
        <w:rPr>
          <w:rFonts w:hint="eastAsia" w:ascii="Times New Roman" w:hAnsi="Times New Roman" w:eastAsia="仿宋" w:cs="Times New Roman"/>
          <w:sz w:val="28"/>
          <w:szCs w:val="32"/>
          <w:highlight w:val="none"/>
          <w:lang w:val="en-US" w:eastAsia="zh-CN" w:bidi="ar-SA"/>
        </w:rPr>
        <w:t>0.0391</w:t>
      </w:r>
      <w:r>
        <w:rPr>
          <w:rFonts w:hint="default" w:ascii="Times New Roman" w:hAnsi="Times New Roman" w:eastAsia="仿宋" w:cs="Times New Roman"/>
          <w:sz w:val="28"/>
          <w:szCs w:val="32"/>
          <w:highlight w:val="none"/>
          <w:lang w:val="en-US" w:eastAsia="zh-CN" w:bidi="ar-SA"/>
        </w:rPr>
        <w:t>公顷。</w:t>
      </w:r>
      <w:r>
        <w:rPr>
          <w:rFonts w:hint="default" w:ascii="Times New Roman" w:hAnsi="Times New Roman" w:eastAsia="仿宋" w:cs="Times New Roman"/>
          <w:sz w:val="28"/>
          <w:szCs w:val="28"/>
          <w:highlight w:val="none"/>
          <w:lang w:bidi="ar-SA"/>
        </w:rPr>
        <w:t>见</w:t>
      </w:r>
      <w:r>
        <w:rPr>
          <w:rFonts w:hint="eastAsia" w:ascii="Times New Roman" w:hAnsi="Times New Roman" w:eastAsia="仿宋" w:cs="Times New Roman"/>
          <w:sz w:val="28"/>
          <w:szCs w:val="28"/>
          <w:highlight w:val="none"/>
          <w:lang w:val="en-US" w:eastAsia="zh-CN" w:bidi="ar-SA"/>
        </w:rPr>
        <w:t>下</w:t>
      </w:r>
      <w:r>
        <w:rPr>
          <w:rFonts w:hint="default" w:ascii="Times New Roman" w:hAnsi="Times New Roman" w:eastAsia="仿宋" w:cs="Times New Roman"/>
          <w:sz w:val="28"/>
          <w:szCs w:val="28"/>
          <w:highlight w:val="none"/>
          <w:lang w:bidi="ar-SA"/>
        </w:rPr>
        <w:t>表2-</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bidi="ar-SA"/>
        </w:rPr>
        <w:t>。</w:t>
      </w:r>
    </w:p>
    <w:p w14:paraId="06ABB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表2-2 片区土地利用现状统计表</w:t>
      </w:r>
      <w:r>
        <w:rPr>
          <w:rFonts w:hint="default" w:ascii="Times New Roman" w:hAnsi="Times New Roman" w:eastAsia="仿宋" w:cs="Times New Roman"/>
          <w:sz w:val="24"/>
          <w:szCs w:val="24"/>
          <w:highlight w:val="none"/>
          <w:lang w:val="en-US" w:eastAsia="zh-CN" w:bidi="ar-SA"/>
        </w:rPr>
        <w:t xml:space="preserve">         </w:t>
      </w:r>
    </w:p>
    <w:p w14:paraId="64EE35D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3"/>
        <w:gridCol w:w="2544"/>
        <w:gridCol w:w="2551"/>
        <w:gridCol w:w="1190"/>
        <w:gridCol w:w="961"/>
      </w:tblGrid>
      <w:tr w14:paraId="7B0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3737" w:type="pct"/>
            <w:gridSpan w:val="3"/>
            <w:shd w:val="clear" w:color="auto" w:fill="auto"/>
            <w:noWrap/>
            <w:vAlign w:val="bottom"/>
          </w:tcPr>
          <w:p w14:paraId="2D76FE77">
            <w:pPr>
              <w:jc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现状地类</w:t>
            </w:r>
          </w:p>
        </w:tc>
        <w:tc>
          <w:tcPr>
            <w:tcW w:w="1262" w:type="pct"/>
            <w:gridSpan w:val="2"/>
            <w:shd w:val="clear" w:color="auto" w:fill="auto"/>
            <w:noWrap/>
            <w:vAlign w:val="bottom"/>
          </w:tcPr>
          <w:p w14:paraId="30BD4D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片区面积</w:t>
            </w:r>
          </w:p>
        </w:tc>
      </w:tr>
      <w:tr w14:paraId="3C3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shd w:val="clear" w:color="auto" w:fill="auto"/>
            <w:noWrap/>
            <w:vAlign w:val="bottom"/>
          </w:tcPr>
          <w:p w14:paraId="67C01DB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三大类</w:t>
            </w:r>
          </w:p>
        </w:tc>
        <w:tc>
          <w:tcPr>
            <w:tcW w:w="1493" w:type="pct"/>
            <w:shd w:val="clear" w:color="auto" w:fill="auto"/>
            <w:noWrap/>
            <w:vAlign w:val="center"/>
          </w:tcPr>
          <w:p w14:paraId="280E98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一级类</w:t>
            </w:r>
          </w:p>
        </w:tc>
        <w:tc>
          <w:tcPr>
            <w:tcW w:w="1497" w:type="pct"/>
            <w:shd w:val="clear" w:color="auto" w:fill="auto"/>
            <w:noWrap/>
            <w:vAlign w:val="center"/>
          </w:tcPr>
          <w:p w14:paraId="74EC4FE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二级类</w:t>
            </w:r>
          </w:p>
        </w:tc>
        <w:tc>
          <w:tcPr>
            <w:tcW w:w="698" w:type="pct"/>
            <w:shd w:val="clear" w:color="auto" w:fill="auto"/>
            <w:noWrap/>
            <w:vAlign w:val="center"/>
          </w:tcPr>
          <w:p w14:paraId="1C3416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面积</w:t>
            </w:r>
          </w:p>
        </w:tc>
        <w:tc>
          <w:tcPr>
            <w:tcW w:w="564" w:type="pct"/>
            <w:shd w:val="clear" w:color="auto" w:fill="auto"/>
            <w:noWrap/>
            <w:vAlign w:val="bottom"/>
          </w:tcPr>
          <w:p w14:paraId="26BAEE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比例</w:t>
            </w:r>
          </w:p>
        </w:tc>
      </w:tr>
      <w:tr w14:paraId="568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restart"/>
            <w:shd w:val="clear" w:color="auto" w:fill="auto"/>
            <w:noWrap/>
            <w:vAlign w:val="center"/>
          </w:tcPr>
          <w:p w14:paraId="168EA03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农用地</w:t>
            </w:r>
          </w:p>
        </w:tc>
        <w:tc>
          <w:tcPr>
            <w:tcW w:w="1493" w:type="pct"/>
            <w:shd w:val="clear" w:color="auto" w:fill="auto"/>
            <w:noWrap/>
            <w:vAlign w:val="center"/>
          </w:tcPr>
          <w:p w14:paraId="1090719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耕地</w:t>
            </w:r>
          </w:p>
        </w:tc>
        <w:tc>
          <w:tcPr>
            <w:tcW w:w="1497" w:type="pct"/>
            <w:shd w:val="clear" w:color="auto" w:fill="auto"/>
            <w:noWrap/>
            <w:vAlign w:val="center"/>
          </w:tcPr>
          <w:p w14:paraId="6CEC14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旱地</w:t>
            </w:r>
          </w:p>
        </w:tc>
        <w:tc>
          <w:tcPr>
            <w:tcW w:w="698" w:type="pct"/>
            <w:shd w:val="clear" w:color="auto" w:fill="auto"/>
            <w:noWrap/>
            <w:vAlign w:val="center"/>
          </w:tcPr>
          <w:p w14:paraId="6D1D4D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38.0881 </w:t>
            </w:r>
          </w:p>
        </w:tc>
        <w:tc>
          <w:tcPr>
            <w:tcW w:w="564" w:type="pct"/>
            <w:shd w:val="clear" w:color="auto" w:fill="auto"/>
            <w:noWrap/>
            <w:vAlign w:val="bottom"/>
          </w:tcPr>
          <w:p w14:paraId="4E97544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57.62 </w:t>
            </w:r>
          </w:p>
        </w:tc>
      </w:tr>
      <w:tr w14:paraId="1C9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26F53743">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4B3418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种植园用地</w:t>
            </w:r>
          </w:p>
        </w:tc>
        <w:tc>
          <w:tcPr>
            <w:tcW w:w="1497" w:type="pct"/>
            <w:shd w:val="clear" w:color="auto" w:fill="auto"/>
            <w:noWrap/>
            <w:vAlign w:val="center"/>
          </w:tcPr>
          <w:p w14:paraId="3CE1212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果园</w:t>
            </w:r>
          </w:p>
        </w:tc>
        <w:tc>
          <w:tcPr>
            <w:tcW w:w="698" w:type="pct"/>
            <w:shd w:val="clear" w:color="auto" w:fill="auto"/>
            <w:noWrap/>
            <w:vAlign w:val="center"/>
          </w:tcPr>
          <w:p w14:paraId="34614F6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1.0600 </w:t>
            </w:r>
          </w:p>
        </w:tc>
        <w:tc>
          <w:tcPr>
            <w:tcW w:w="564" w:type="pct"/>
            <w:shd w:val="clear" w:color="auto" w:fill="auto"/>
            <w:noWrap/>
            <w:vAlign w:val="bottom"/>
          </w:tcPr>
          <w:p w14:paraId="3CDA9C7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1.60 </w:t>
            </w:r>
          </w:p>
        </w:tc>
      </w:tr>
      <w:tr w14:paraId="50A0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18CF2CF">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2E4FBD6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林地</w:t>
            </w:r>
          </w:p>
        </w:tc>
        <w:tc>
          <w:tcPr>
            <w:tcW w:w="1497" w:type="pct"/>
            <w:shd w:val="clear" w:color="auto" w:fill="auto"/>
            <w:noWrap/>
            <w:vAlign w:val="center"/>
          </w:tcPr>
          <w:p w14:paraId="2AEA02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乔木林地</w:t>
            </w:r>
          </w:p>
        </w:tc>
        <w:tc>
          <w:tcPr>
            <w:tcW w:w="698" w:type="pct"/>
            <w:shd w:val="clear" w:color="auto" w:fill="auto"/>
            <w:noWrap/>
            <w:vAlign w:val="center"/>
          </w:tcPr>
          <w:p w14:paraId="19E9ED4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0.1613 </w:t>
            </w:r>
          </w:p>
        </w:tc>
        <w:tc>
          <w:tcPr>
            <w:tcW w:w="564" w:type="pct"/>
            <w:shd w:val="clear" w:color="auto" w:fill="auto"/>
            <w:noWrap/>
            <w:vAlign w:val="bottom"/>
          </w:tcPr>
          <w:p w14:paraId="1249AB16">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0.24 </w:t>
            </w:r>
          </w:p>
        </w:tc>
      </w:tr>
      <w:tr w14:paraId="5B7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00EA161D">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031E35C">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43F8C49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其他林地</w:t>
            </w:r>
          </w:p>
        </w:tc>
        <w:tc>
          <w:tcPr>
            <w:tcW w:w="698" w:type="pct"/>
            <w:shd w:val="clear" w:color="auto" w:fill="auto"/>
            <w:noWrap/>
            <w:vAlign w:val="center"/>
          </w:tcPr>
          <w:p w14:paraId="2A01D7B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0.2188 </w:t>
            </w:r>
          </w:p>
        </w:tc>
        <w:tc>
          <w:tcPr>
            <w:tcW w:w="564" w:type="pct"/>
            <w:shd w:val="clear" w:color="auto" w:fill="auto"/>
            <w:noWrap/>
            <w:vAlign w:val="bottom"/>
          </w:tcPr>
          <w:p w14:paraId="0EB1D9E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0.33 </w:t>
            </w:r>
          </w:p>
        </w:tc>
      </w:tr>
      <w:tr w14:paraId="45E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7DD573A">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0E7FC2B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草地</w:t>
            </w:r>
          </w:p>
        </w:tc>
        <w:tc>
          <w:tcPr>
            <w:tcW w:w="1497" w:type="pct"/>
            <w:shd w:val="clear" w:color="auto" w:fill="auto"/>
            <w:noWrap/>
            <w:vAlign w:val="center"/>
          </w:tcPr>
          <w:p w14:paraId="760983F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其他草地</w:t>
            </w:r>
          </w:p>
        </w:tc>
        <w:tc>
          <w:tcPr>
            <w:tcW w:w="698" w:type="pct"/>
            <w:shd w:val="clear" w:color="auto" w:fill="auto"/>
            <w:noWrap/>
            <w:vAlign w:val="center"/>
          </w:tcPr>
          <w:p w14:paraId="7156EF5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0.0308 </w:t>
            </w:r>
          </w:p>
        </w:tc>
        <w:tc>
          <w:tcPr>
            <w:tcW w:w="564" w:type="pct"/>
            <w:shd w:val="clear" w:color="auto" w:fill="auto"/>
            <w:noWrap/>
            <w:vAlign w:val="bottom"/>
          </w:tcPr>
          <w:p w14:paraId="68ACDE3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0.05 </w:t>
            </w:r>
          </w:p>
        </w:tc>
      </w:tr>
      <w:tr w14:paraId="6EB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1B47807">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7829C8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D40A26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农村道路</w:t>
            </w:r>
          </w:p>
        </w:tc>
        <w:tc>
          <w:tcPr>
            <w:tcW w:w="698" w:type="pct"/>
            <w:shd w:val="clear" w:color="auto" w:fill="auto"/>
            <w:noWrap/>
            <w:vAlign w:val="center"/>
          </w:tcPr>
          <w:p w14:paraId="75B1CC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0.5760 </w:t>
            </w:r>
          </w:p>
        </w:tc>
        <w:tc>
          <w:tcPr>
            <w:tcW w:w="564" w:type="pct"/>
            <w:shd w:val="clear" w:color="auto" w:fill="auto"/>
            <w:noWrap/>
            <w:vAlign w:val="bottom"/>
          </w:tcPr>
          <w:p w14:paraId="6CFDA975">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0.87 </w:t>
            </w:r>
          </w:p>
        </w:tc>
      </w:tr>
      <w:tr w14:paraId="14F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F2B754E">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7C2C9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其他土地</w:t>
            </w:r>
          </w:p>
        </w:tc>
        <w:tc>
          <w:tcPr>
            <w:tcW w:w="1497" w:type="pct"/>
            <w:shd w:val="clear" w:color="auto" w:fill="auto"/>
            <w:noWrap/>
            <w:vAlign w:val="center"/>
          </w:tcPr>
          <w:p w14:paraId="6D2BF27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设施农用地</w:t>
            </w:r>
          </w:p>
        </w:tc>
        <w:tc>
          <w:tcPr>
            <w:tcW w:w="698" w:type="pct"/>
            <w:shd w:val="clear" w:color="auto" w:fill="auto"/>
            <w:noWrap/>
            <w:vAlign w:val="center"/>
          </w:tcPr>
          <w:p w14:paraId="4712F3D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0.0521 </w:t>
            </w:r>
          </w:p>
        </w:tc>
        <w:tc>
          <w:tcPr>
            <w:tcW w:w="564" w:type="pct"/>
            <w:shd w:val="clear" w:color="auto" w:fill="auto"/>
            <w:noWrap/>
            <w:vAlign w:val="bottom"/>
          </w:tcPr>
          <w:p w14:paraId="6445E03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0.08 </w:t>
            </w:r>
          </w:p>
        </w:tc>
      </w:tr>
      <w:tr w14:paraId="57B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048D8B65">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50B44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27D523B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40.1870 </w:t>
            </w:r>
          </w:p>
        </w:tc>
        <w:tc>
          <w:tcPr>
            <w:tcW w:w="564" w:type="pct"/>
            <w:shd w:val="clear" w:color="auto" w:fill="auto"/>
            <w:noWrap/>
            <w:vAlign w:val="bottom"/>
          </w:tcPr>
          <w:p w14:paraId="3960240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60.80 </w:t>
            </w:r>
          </w:p>
        </w:tc>
      </w:tr>
      <w:tr w14:paraId="012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3F67D8A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建设用地</w:t>
            </w:r>
          </w:p>
        </w:tc>
        <w:tc>
          <w:tcPr>
            <w:tcW w:w="1493" w:type="pct"/>
            <w:shd w:val="clear" w:color="auto" w:fill="auto"/>
            <w:noWrap/>
            <w:vAlign w:val="center"/>
          </w:tcPr>
          <w:p w14:paraId="5320403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1497" w:type="pct"/>
            <w:shd w:val="clear" w:color="auto" w:fill="auto"/>
            <w:noWrap/>
            <w:vAlign w:val="center"/>
          </w:tcPr>
          <w:p w14:paraId="7FE089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698" w:type="pct"/>
            <w:shd w:val="clear" w:color="auto" w:fill="auto"/>
            <w:noWrap/>
            <w:vAlign w:val="center"/>
          </w:tcPr>
          <w:p w14:paraId="12AA4B4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1.0535 </w:t>
            </w:r>
          </w:p>
        </w:tc>
        <w:tc>
          <w:tcPr>
            <w:tcW w:w="564" w:type="pct"/>
            <w:shd w:val="clear" w:color="auto" w:fill="auto"/>
            <w:noWrap/>
            <w:vAlign w:val="bottom"/>
          </w:tcPr>
          <w:p w14:paraId="323BF7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1.5</w:t>
            </w:r>
            <w:r>
              <w:rPr>
                <w:rFonts w:hint="eastAsia" w:ascii="Times New Roman" w:hAnsi="Times New Roman" w:eastAsia="仿宋" w:cs="Times New Roman"/>
                <w:i w:val="0"/>
                <w:iCs w:val="0"/>
                <w:color w:val="000000"/>
                <w:sz w:val="21"/>
                <w:szCs w:val="21"/>
                <w:u w:val="none"/>
                <w:lang w:val="en-US" w:eastAsia="zh-CN"/>
              </w:rPr>
              <w:t>8</w:t>
            </w:r>
            <w:r>
              <w:rPr>
                <w:rFonts w:hint="default" w:ascii="Times New Roman" w:hAnsi="Times New Roman" w:eastAsia="仿宋" w:cs="Times New Roman"/>
                <w:i w:val="0"/>
                <w:iCs w:val="0"/>
                <w:color w:val="000000"/>
                <w:sz w:val="21"/>
                <w:szCs w:val="21"/>
                <w:u w:val="none"/>
                <w:lang w:val="en-US" w:eastAsia="zh-CN"/>
              </w:rPr>
              <w:t xml:space="preserve"> </w:t>
            </w:r>
          </w:p>
        </w:tc>
      </w:tr>
      <w:tr w14:paraId="641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D25F2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1F7F1092">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10EA9A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物流仓储用地</w:t>
            </w:r>
          </w:p>
        </w:tc>
        <w:tc>
          <w:tcPr>
            <w:tcW w:w="698" w:type="pct"/>
            <w:shd w:val="clear" w:color="auto" w:fill="auto"/>
            <w:noWrap/>
            <w:vAlign w:val="center"/>
          </w:tcPr>
          <w:p w14:paraId="7DC1C3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0.0019 </w:t>
            </w:r>
          </w:p>
        </w:tc>
        <w:tc>
          <w:tcPr>
            <w:tcW w:w="564" w:type="pct"/>
            <w:shd w:val="clear" w:color="auto" w:fill="auto"/>
            <w:noWrap/>
            <w:vAlign w:val="bottom"/>
          </w:tcPr>
          <w:p w14:paraId="0DA71C9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0.0</w:t>
            </w:r>
            <w:r>
              <w:rPr>
                <w:rFonts w:hint="eastAsia" w:ascii="Times New Roman" w:hAnsi="Times New Roman" w:eastAsia="仿宋" w:cs="Times New Roman"/>
                <w:i w:val="0"/>
                <w:iCs w:val="0"/>
                <w:color w:val="000000"/>
                <w:sz w:val="21"/>
                <w:szCs w:val="21"/>
                <w:u w:val="none"/>
                <w:lang w:val="en-US" w:eastAsia="zh-CN"/>
              </w:rPr>
              <w:t>1</w:t>
            </w:r>
            <w:r>
              <w:rPr>
                <w:rFonts w:hint="default" w:ascii="Times New Roman" w:hAnsi="Times New Roman" w:eastAsia="仿宋" w:cs="Times New Roman"/>
                <w:i w:val="0"/>
                <w:iCs w:val="0"/>
                <w:color w:val="000000"/>
                <w:sz w:val="21"/>
                <w:szCs w:val="21"/>
                <w:u w:val="none"/>
                <w:lang w:val="en-US" w:eastAsia="zh-CN"/>
              </w:rPr>
              <w:t xml:space="preserve"> </w:t>
            </w:r>
          </w:p>
        </w:tc>
      </w:tr>
      <w:tr w14:paraId="67DF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7" w:type="pct"/>
            <w:vMerge w:val="continue"/>
            <w:shd w:val="clear" w:color="auto" w:fill="auto"/>
            <w:noWrap/>
            <w:vAlign w:val="center"/>
          </w:tcPr>
          <w:p w14:paraId="06494B44">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341A72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工矿用地</w:t>
            </w:r>
          </w:p>
        </w:tc>
        <w:tc>
          <w:tcPr>
            <w:tcW w:w="1497" w:type="pct"/>
            <w:shd w:val="clear" w:color="auto" w:fill="auto"/>
            <w:noWrap/>
            <w:vAlign w:val="center"/>
          </w:tcPr>
          <w:p w14:paraId="4F5A3D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工业用地</w:t>
            </w:r>
          </w:p>
        </w:tc>
        <w:tc>
          <w:tcPr>
            <w:tcW w:w="698" w:type="pct"/>
            <w:shd w:val="clear" w:color="auto" w:fill="auto"/>
            <w:noWrap/>
            <w:vAlign w:val="center"/>
          </w:tcPr>
          <w:p w14:paraId="745DC81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1.0737 </w:t>
            </w:r>
          </w:p>
        </w:tc>
        <w:tc>
          <w:tcPr>
            <w:tcW w:w="564" w:type="pct"/>
            <w:shd w:val="clear" w:color="auto" w:fill="auto"/>
            <w:noWrap/>
            <w:vAlign w:val="bottom"/>
          </w:tcPr>
          <w:p w14:paraId="47E55AD4">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1.62 </w:t>
            </w:r>
          </w:p>
        </w:tc>
      </w:tr>
      <w:tr w14:paraId="4AC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C78EB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17EE2C1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居住用地</w:t>
            </w:r>
          </w:p>
        </w:tc>
        <w:tc>
          <w:tcPr>
            <w:tcW w:w="1497" w:type="pct"/>
            <w:shd w:val="clear" w:color="auto" w:fill="auto"/>
            <w:noWrap/>
            <w:vAlign w:val="center"/>
          </w:tcPr>
          <w:p w14:paraId="405732B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城镇住宅用地</w:t>
            </w:r>
          </w:p>
        </w:tc>
        <w:tc>
          <w:tcPr>
            <w:tcW w:w="698" w:type="pct"/>
            <w:shd w:val="clear" w:color="auto" w:fill="auto"/>
            <w:noWrap/>
            <w:vAlign w:val="center"/>
          </w:tcPr>
          <w:p w14:paraId="5C289624">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0.0464 </w:t>
            </w:r>
          </w:p>
        </w:tc>
        <w:tc>
          <w:tcPr>
            <w:tcW w:w="564" w:type="pct"/>
            <w:shd w:val="clear" w:color="auto" w:fill="auto"/>
            <w:noWrap/>
            <w:vAlign w:val="bottom"/>
          </w:tcPr>
          <w:p w14:paraId="522566A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0.07 </w:t>
            </w:r>
          </w:p>
        </w:tc>
      </w:tr>
      <w:tr w14:paraId="167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136B2E80">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20134336">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FB2C05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农村宅基地</w:t>
            </w:r>
          </w:p>
        </w:tc>
        <w:tc>
          <w:tcPr>
            <w:tcW w:w="698" w:type="pct"/>
            <w:shd w:val="clear" w:color="auto" w:fill="auto"/>
            <w:noWrap/>
            <w:vAlign w:val="center"/>
          </w:tcPr>
          <w:p w14:paraId="58E35FC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0.2625 </w:t>
            </w:r>
          </w:p>
        </w:tc>
        <w:tc>
          <w:tcPr>
            <w:tcW w:w="564" w:type="pct"/>
            <w:shd w:val="clear" w:color="auto" w:fill="auto"/>
            <w:noWrap/>
            <w:vAlign w:val="bottom"/>
          </w:tcPr>
          <w:p w14:paraId="7EBF5C6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0.40 </w:t>
            </w:r>
          </w:p>
        </w:tc>
      </w:tr>
      <w:tr w14:paraId="6060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E09FA6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5136A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公共管理与公共服务用地</w:t>
            </w:r>
          </w:p>
        </w:tc>
        <w:tc>
          <w:tcPr>
            <w:tcW w:w="1497" w:type="pct"/>
            <w:shd w:val="clear" w:color="auto" w:fill="auto"/>
            <w:noWrap/>
            <w:vAlign w:val="center"/>
          </w:tcPr>
          <w:p w14:paraId="47BFC7F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科教文卫用地</w:t>
            </w:r>
          </w:p>
        </w:tc>
        <w:tc>
          <w:tcPr>
            <w:tcW w:w="698" w:type="pct"/>
            <w:shd w:val="clear" w:color="auto" w:fill="auto"/>
            <w:noWrap/>
            <w:vAlign w:val="center"/>
          </w:tcPr>
          <w:p w14:paraId="5994C80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8.5155 </w:t>
            </w:r>
          </w:p>
        </w:tc>
        <w:tc>
          <w:tcPr>
            <w:tcW w:w="564" w:type="pct"/>
            <w:shd w:val="clear" w:color="auto" w:fill="auto"/>
            <w:noWrap/>
            <w:vAlign w:val="bottom"/>
          </w:tcPr>
          <w:p w14:paraId="5B266CC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12.88 </w:t>
            </w:r>
          </w:p>
        </w:tc>
      </w:tr>
      <w:tr w14:paraId="24D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0909AD9">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6396E02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497" w:type="pct"/>
            <w:shd w:val="clear" w:color="auto" w:fill="auto"/>
            <w:noWrap/>
            <w:vAlign w:val="center"/>
          </w:tcPr>
          <w:p w14:paraId="4F17DC0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公园与绿地</w:t>
            </w:r>
          </w:p>
        </w:tc>
        <w:tc>
          <w:tcPr>
            <w:tcW w:w="698" w:type="pct"/>
            <w:shd w:val="clear" w:color="auto" w:fill="auto"/>
            <w:noWrap/>
            <w:vAlign w:val="center"/>
          </w:tcPr>
          <w:p w14:paraId="4013D9D9">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1.9282 </w:t>
            </w:r>
          </w:p>
        </w:tc>
        <w:tc>
          <w:tcPr>
            <w:tcW w:w="564" w:type="pct"/>
            <w:shd w:val="clear" w:color="auto" w:fill="auto"/>
            <w:noWrap/>
            <w:vAlign w:val="bottom"/>
          </w:tcPr>
          <w:p w14:paraId="114068C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2.92 </w:t>
            </w:r>
          </w:p>
        </w:tc>
      </w:tr>
      <w:tr w14:paraId="337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634493">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2F25C78">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3C05D5F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广场用地</w:t>
            </w:r>
          </w:p>
        </w:tc>
        <w:tc>
          <w:tcPr>
            <w:tcW w:w="698" w:type="pct"/>
            <w:shd w:val="clear" w:color="auto" w:fill="auto"/>
            <w:noWrap/>
            <w:vAlign w:val="center"/>
          </w:tcPr>
          <w:p w14:paraId="28D2A67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0.8596 </w:t>
            </w:r>
          </w:p>
        </w:tc>
        <w:tc>
          <w:tcPr>
            <w:tcW w:w="564" w:type="pct"/>
            <w:shd w:val="clear" w:color="auto" w:fill="auto"/>
            <w:noWrap/>
            <w:vAlign w:val="bottom"/>
          </w:tcPr>
          <w:p w14:paraId="6C20A60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1.30 </w:t>
            </w:r>
          </w:p>
        </w:tc>
      </w:tr>
      <w:tr w14:paraId="255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3E0AB20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5EB425DF">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111EDB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公路用地</w:t>
            </w:r>
          </w:p>
        </w:tc>
        <w:tc>
          <w:tcPr>
            <w:tcW w:w="698" w:type="pct"/>
            <w:shd w:val="clear" w:color="auto" w:fill="auto"/>
            <w:noWrap/>
            <w:vAlign w:val="center"/>
          </w:tcPr>
          <w:p w14:paraId="653F108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12.0704 </w:t>
            </w:r>
          </w:p>
        </w:tc>
        <w:tc>
          <w:tcPr>
            <w:tcW w:w="564" w:type="pct"/>
            <w:shd w:val="clear" w:color="auto" w:fill="auto"/>
            <w:noWrap/>
            <w:vAlign w:val="bottom"/>
          </w:tcPr>
          <w:p w14:paraId="282AD34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18.26 </w:t>
            </w:r>
          </w:p>
        </w:tc>
      </w:tr>
      <w:tr w14:paraId="1A0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1217C82">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62754C5E">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4C8E1B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城镇村道路用地</w:t>
            </w:r>
          </w:p>
        </w:tc>
        <w:tc>
          <w:tcPr>
            <w:tcW w:w="698" w:type="pct"/>
            <w:shd w:val="clear" w:color="auto" w:fill="auto"/>
            <w:noWrap/>
            <w:vAlign w:val="center"/>
          </w:tcPr>
          <w:p w14:paraId="10EFDD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0.0613 </w:t>
            </w:r>
          </w:p>
        </w:tc>
        <w:tc>
          <w:tcPr>
            <w:tcW w:w="564" w:type="pct"/>
            <w:shd w:val="clear" w:color="auto" w:fill="auto"/>
            <w:noWrap/>
            <w:vAlign w:val="bottom"/>
          </w:tcPr>
          <w:p w14:paraId="4DA2AFB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0.09 </w:t>
            </w:r>
          </w:p>
        </w:tc>
      </w:tr>
      <w:tr w14:paraId="133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110934">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5F702D6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68AAA65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25.8731 </w:t>
            </w:r>
          </w:p>
        </w:tc>
        <w:tc>
          <w:tcPr>
            <w:tcW w:w="564" w:type="pct"/>
            <w:shd w:val="clear" w:color="auto" w:fill="auto"/>
            <w:noWrap/>
            <w:vAlign w:val="bottom"/>
          </w:tcPr>
          <w:p w14:paraId="5332144A">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39.14 </w:t>
            </w:r>
          </w:p>
        </w:tc>
      </w:tr>
      <w:tr w14:paraId="3C54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16E98CB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未利用地</w:t>
            </w:r>
          </w:p>
        </w:tc>
        <w:tc>
          <w:tcPr>
            <w:tcW w:w="1493" w:type="pct"/>
            <w:shd w:val="clear" w:color="auto" w:fill="auto"/>
            <w:noWrap/>
            <w:vAlign w:val="center"/>
          </w:tcPr>
          <w:p w14:paraId="30DD0B9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水域及水利设施用地</w:t>
            </w:r>
          </w:p>
        </w:tc>
        <w:tc>
          <w:tcPr>
            <w:tcW w:w="1497" w:type="pct"/>
            <w:shd w:val="clear" w:color="auto" w:fill="auto"/>
            <w:noWrap/>
            <w:vAlign w:val="center"/>
          </w:tcPr>
          <w:p w14:paraId="7E278E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河流水面</w:t>
            </w:r>
          </w:p>
        </w:tc>
        <w:tc>
          <w:tcPr>
            <w:tcW w:w="698" w:type="pct"/>
            <w:shd w:val="clear" w:color="auto" w:fill="auto"/>
            <w:noWrap/>
            <w:vAlign w:val="center"/>
          </w:tcPr>
          <w:p w14:paraId="54B6C74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21646E0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11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85DD9AA">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B1701A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0FBBEBD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0A2AC07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ED8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7" w:type="pct"/>
            <w:gridSpan w:val="3"/>
            <w:shd w:val="clear" w:color="auto" w:fill="auto"/>
            <w:noWrap/>
            <w:vAlign w:val="center"/>
          </w:tcPr>
          <w:p w14:paraId="13B645A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总计</w:t>
            </w:r>
          </w:p>
        </w:tc>
        <w:tc>
          <w:tcPr>
            <w:tcW w:w="698" w:type="pct"/>
            <w:shd w:val="clear" w:color="auto" w:fill="auto"/>
            <w:noWrap/>
            <w:vAlign w:val="center"/>
          </w:tcPr>
          <w:p w14:paraId="0F5F6423">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66.0992 </w:t>
            </w:r>
          </w:p>
        </w:tc>
        <w:tc>
          <w:tcPr>
            <w:tcW w:w="564" w:type="pct"/>
            <w:shd w:val="clear" w:color="auto" w:fill="auto"/>
            <w:noWrap/>
            <w:vAlign w:val="bottom"/>
          </w:tcPr>
          <w:p w14:paraId="547F2D5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100.00 </w:t>
            </w:r>
          </w:p>
        </w:tc>
      </w:tr>
    </w:tbl>
    <w:p w14:paraId="312FDABF">
      <w:pPr>
        <w:keepNext/>
        <w:keepLines/>
        <w:widowControl w:val="0"/>
        <w:numPr>
          <w:ilvl w:val="2"/>
          <w:numId w:val="0"/>
        </w:numPr>
        <w:bidi w:val="0"/>
        <w:spacing w:line="240" w:lineRule="auto"/>
        <w:jc w:val="both"/>
        <w:outlineLvl w:val="2"/>
        <w:rPr>
          <w:rFonts w:hint="default" w:ascii="Times New Roman" w:hAnsi="Times New Roman" w:eastAsia="仿宋" w:cs="Times New Roman"/>
          <w:b/>
          <w:bCs/>
          <w:kern w:val="2"/>
          <w:sz w:val="28"/>
          <w:szCs w:val="32"/>
          <w:highlight w:val="none"/>
          <w:lang w:val="en-US" w:eastAsia="zh-CN" w:bidi="ar-SA"/>
        </w:rPr>
      </w:pPr>
      <w:r>
        <w:rPr>
          <w:rFonts w:hint="eastAsia" w:ascii="Times New Roman" w:hAnsi="Times New Roman" w:eastAsia="仿宋" w:cs="Times New Roman"/>
          <w:b/>
          <w:bCs/>
          <w:kern w:val="2"/>
          <w:sz w:val="28"/>
          <w:szCs w:val="32"/>
          <w:lang w:val="en-US" w:eastAsia="zh-CN" w:bidi="ar-SA"/>
        </w:rPr>
        <w:t>2.3.2.</w:t>
      </w:r>
      <w:r>
        <w:rPr>
          <w:rFonts w:hint="eastAsia" w:ascii="Times New Roman" w:hAnsi="Times New Roman" w:eastAsia="仿宋" w:cs="Times New Roman"/>
          <w:b/>
          <w:bCs/>
          <w:kern w:val="2"/>
          <w:sz w:val="28"/>
          <w:szCs w:val="32"/>
          <w:highlight w:val="none"/>
          <w:lang w:val="en-US" w:eastAsia="zh-CN" w:bidi="ar-SA"/>
        </w:rPr>
        <w:t>项目用地</w:t>
      </w:r>
      <w:r>
        <w:rPr>
          <w:rFonts w:hint="default" w:ascii="Times New Roman" w:hAnsi="Times New Roman" w:eastAsia="仿宋" w:cs="Times New Roman"/>
          <w:b/>
          <w:bCs/>
          <w:kern w:val="2"/>
          <w:sz w:val="28"/>
          <w:szCs w:val="32"/>
          <w:highlight w:val="none"/>
          <w:lang w:val="en-US" w:eastAsia="zh-CN" w:bidi="ar-SA"/>
        </w:rPr>
        <w:t>范围土地利用现状</w:t>
      </w:r>
    </w:p>
    <w:p w14:paraId="1E12C2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bidi="ar-SA"/>
        </w:rPr>
      </w:pPr>
      <w:r>
        <w:rPr>
          <w:rFonts w:hint="default" w:ascii="Times New Roman" w:hAnsi="Times New Roman" w:eastAsia="仿宋" w:cs="Times New Roman"/>
          <w:color w:val="auto"/>
          <w:sz w:val="28"/>
          <w:szCs w:val="32"/>
          <w:highlight w:val="none"/>
          <w:lang w:val="en-US" w:eastAsia="zh-CN" w:bidi="ar-SA"/>
        </w:rPr>
        <w:t>依据</w:t>
      </w:r>
      <w:r>
        <w:rPr>
          <w:rFonts w:hint="eastAsia" w:ascii="Times New Roman" w:hAnsi="Times New Roman" w:eastAsia="仿宋" w:cs="Times New Roman"/>
          <w:color w:val="auto"/>
          <w:sz w:val="28"/>
          <w:szCs w:val="28"/>
          <w:highlight w:val="none"/>
          <w:lang w:val="en-US" w:eastAsia="zh-CN" w:bidi="ar-SA"/>
        </w:rPr>
        <w:t>高平市2023年度国土变更调查数据</w:t>
      </w:r>
      <w:r>
        <w:rPr>
          <w:rFonts w:hint="default" w:ascii="Times New Roman" w:hAnsi="Times New Roman" w:eastAsia="仿宋" w:cs="Times New Roman"/>
          <w:color w:val="auto"/>
          <w:sz w:val="28"/>
          <w:szCs w:val="32"/>
          <w:highlight w:val="none"/>
          <w:lang w:val="en-US" w:eastAsia="zh-CN" w:bidi="ar-SA"/>
        </w:rPr>
        <w:t>，本方案</w:t>
      </w:r>
      <w:r>
        <w:rPr>
          <w:rFonts w:hint="eastAsia" w:ascii="Times New Roman" w:hAnsi="Times New Roman" w:eastAsia="仿宋" w:cs="Times New Roman"/>
          <w:color w:val="auto"/>
          <w:sz w:val="28"/>
          <w:szCs w:val="32"/>
          <w:highlight w:val="none"/>
          <w:lang w:val="en-US" w:eastAsia="zh-CN" w:bidi="ar-SA"/>
        </w:rPr>
        <w:t>项目用地总面积45.9447</w:t>
      </w:r>
      <w:r>
        <w:rPr>
          <w:rFonts w:hint="default" w:ascii="Times New Roman" w:hAnsi="Times New Roman" w:eastAsia="仿宋" w:cs="Times New Roman"/>
          <w:color w:val="auto"/>
          <w:sz w:val="28"/>
          <w:szCs w:val="32"/>
          <w:highlight w:val="none"/>
          <w:lang w:val="en-US" w:eastAsia="zh-CN" w:bidi="ar-SA"/>
        </w:rPr>
        <w:t>公顷，其中农用地面积</w:t>
      </w:r>
      <w:r>
        <w:rPr>
          <w:rFonts w:hint="eastAsia" w:ascii="Times New Roman" w:hAnsi="Times New Roman" w:eastAsia="仿宋" w:cs="Times New Roman"/>
          <w:color w:val="auto"/>
          <w:sz w:val="28"/>
          <w:szCs w:val="32"/>
          <w:highlight w:val="none"/>
          <w:lang w:val="en-US" w:eastAsia="zh-CN" w:bidi="ar-SA"/>
        </w:rPr>
        <w:t>39.8759</w:t>
      </w:r>
      <w:r>
        <w:rPr>
          <w:rFonts w:hint="default" w:ascii="Times New Roman" w:hAnsi="Times New Roman" w:eastAsia="仿宋" w:cs="Times New Roman"/>
          <w:color w:val="auto"/>
          <w:sz w:val="28"/>
          <w:szCs w:val="32"/>
          <w:highlight w:val="none"/>
          <w:lang w:val="en-US" w:eastAsia="zh-CN" w:bidi="ar-SA"/>
        </w:rPr>
        <w:t>公顷（耕地</w:t>
      </w:r>
      <w:r>
        <w:rPr>
          <w:rFonts w:hint="eastAsia" w:ascii="Times New Roman" w:hAnsi="Times New Roman" w:eastAsia="仿宋" w:cs="Times New Roman"/>
          <w:color w:val="auto"/>
          <w:sz w:val="28"/>
          <w:szCs w:val="32"/>
          <w:highlight w:val="none"/>
          <w:lang w:val="en-US" w:eastAsia="zh-CN" w:bidi="ar-SA"/>
        </w:rPr>
        <w:t>38.0698</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园地1.0600</w:t>
      </w:r>
      <w:r>
        <w:rPr>
          <w:rFonts w:hint="default" w:ascii="Times New Roman" w:hAnsi="Times New Roman" w:eastAsia="仿宋" w:cs="Times New Roman"/>
          <w:color w:val="auto"/>
          <w:sz w:val="28"/>
          <w:szCs w:val="32"/>
          <w:highlight w:val="none"/>
          <w:lang w:val="en-US" w:eastAsia="zh-CN" w:bidi="ar-SA"/>
        </w:rPr>
        <w:t>公顷、林地</w:t>
      </w:r>
      <w:r>
        <w:rPr>
          <w:rFonts w:hint="eastAsia" w:ascii="Times New Roman" w:hAnsi="Times New Roman" w:eastAsia="仿宋" w:cs="Times New Roman"/>
          <w:color w:val="auto"/>
          <w:sz w:val="28"/>
          <w:szCs w:val="32"/>
          <w:highlight w:val="none"/>
          <w:lang w:val="en-US" w:eastAsia="zh-CN" w:bidi="ar-SA"/>
        </w:rPr>
        <w:t>0.2576</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草地0.0308公顷、交通运输用地0.4056公顷、</w:t>
      </w:r>
      <w:r>
        <w:rPr>
          <w:rFonts w:hint="default" w:ascii="Times New Roman" w:hAnsi="Times New Roman" w:eastAsia="仿宋" w:cs="Times New Roman"/>
          <w:color w:val="auto"/>
          <w:sz w:val="28"/>
          <w:szCs w:val="32"/>
          <w:highlight w:val="none"/>
          <w:lang w:val="en-US" w:eastAsia="zh-CN" w:bidi="ar-SA"/>
        </w:rPr>
        <w:t>其他农用地</w:t>
      </w:r>
      <w:r>
        <w:rPr>
          <w:rFonts w:hint="eastAsia" w:ascii="Times New Roman" w:hAnsi="Times New Roman" w:eastAsia="仿宋" w:cs="Times New Roman"/>
          <w:color w:val="auto"/>
          <w:sz w:val="28"/>
          <w:szCs w:val="32"/>
          <w:highlight w:val="none"/>
          <w:lang w:val="en-US" w:eastAsia="zh-CN" w:bidi="ar-SA"/>
        </w:rPr>
        <w:t>0.0521</w:t>
      </w:r>
      <w:r>
        <w:rPr>
          <w:rFonts w:hint="default" w:ascii="Times New Roman" w:hAnsi="Times New Roman" w:eastAsia="仿宋" w:cs="Times New Roman"/>
          <w:color w:val="auto"/>
          <w:sz w:val="28"/>
          <w:szCs w:val="32"/>
          <w:highlight w:val="none"/>
          <w:lang w:val="en-US" w:eastAsia="zh-CN" w:bidi="ar-SA"/>
        </w:rPr>
        <w:t>公顷），建设用地面积</w:t>
      </w:r>
      <w:r>
        <w:rPr>
          <w:rFonts w:hint="eastAsia" w:ascii="Times New Roman" w:hAnsi="Times New Roman" w:eastAsia="仿宋" w:cs="Times New Roman"/>
          <w:color w:val="auto"/>
          <w:sz w:val="28"/>
          <w:szCs w:val="32"/>
          <w:highlight w:val="none"/>
          <w:lang w:val="en-US" w:eastAsia="zh-CN" w:bidi="ar-SA"/>
        </w:rPr>
        <w:t>6.0689</w:t>
      </w:r>
      <w:r>
        <w:rPr>
          <w:rFonts w:hint="default" w:ascii="Times New Roman" w:hAnsi="Times New Roman" w:eastAsia="仿宋" w:cs="Times New Roman"/>
          <w:color w:val="auto"/>
          <w:sz w:val="28"/>
          <w:szCs w:val="32"/>
          <w:highlight w:val="none"/>
          <w:lang w:val="en-US" w:eastAsia="zh-CN" w:bidi="ar-SA"/>
        </w:rPr>
        <w:t>公顷。</w:t>
      </w:r>
      <w:r>
        <w:rPr>
          <w:rFonts w:hint="default" w:ascii="Times New Roman" w:hAnsi="Times New Roman" w:eastAsia="仿宋" w:cs="Times New Roman"/>
          <w:color w:val="auto"/>
          <w:sz w:val="28"/>
          <w:szCs w:val="28"/>
          <w:highlight w:val="none"/>
          <w:lang w:bidi="ar-SA"/>
        </w:rPr>
        <w:t>见</w:t>
      </w:r>
      <w:r>
        <w:rPr>
          <w:rFonts w:hint="eastAsia" w:ascii="Times New Roman" w:hAnsi="Times New Roman" w:eastAsia="仿宋" w:cs="Times New Roman"/>
          <w:color w:val="auto"/>
          <w:sz w:val="28"/>
          <w:szCs w:val="28"/>
          <w:highlight w:val="none"/>
          <w:lang w:val="en-US" w:eastAsia="zh-CN" w:bidi="ar-SA"/>
        </w:rPr>
        <w:t>下</w:t>
      </w:r>
      <w:r>
        <w:rPr>
          <w:rFonts w:hint="default" w:ascii="Times New Roman" w:hAnsi="Times New Roman" w:eastAsia="仿宋" w:cs="Times New Roman"/>
          <w:color w:val="auto"/>
          <w:sz w:val="28"/>
          <w:szCs w:val="28"/>
          <w:highlight w:val="none"/>
          <w:lang w:bidi="ar-SA"/>
        </w:rPr>
        <w:t>表2-</w:t>
      </w:r>
      <w:r>
        <w:rPr>
          <w:rFonts w:hint="eastAsia" w:ascii="Times New Roman" w:hAnsi="Times New Roman" w:eastAsia="仿宋" w:cs="Times New Roman"/>
          <w:color w:val="auto"/>
          <w:sz w:val="28"/>
          <w:szCs w:val="28"/>
          <w:highlight w:val="none"/>
          <w:lang w:val="en-US" w:eastAsia="zh-CN" w:bidi="ar-SA"/>
        </w:rPr>
        <w:t>3</w:t>
      </w:r>
      <w:r>
        <w:rPr>
          <w:rFonts w:hint="default" w:ascii="Times New Roman" w:hAnsi="Times New Roman" w:eastAsia="仿宋" w:cs="Times New Roman"/>
          <w:color w:val="auto"/>
          <w:sz w:val="28"/>
          <w:szCs w:val="28"/>
          <w:highlight w:val="none"/>
          <w:lang w:bidi="ar-SA"/>
        </w:rPr>
        <w:t>。</w:t>
      </w:r>
    </w:p>
    <w:p w14:paraId="2051A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表2-3 项目用地土地利用现状统计表</w:t>
      </w:r>
    </w:p>
    <w:p w14:paraId="0618F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2163"/>
        <w:gridCol w:w="2173"/>
        <w:gridCol w:w="1694"/>
        <w:gridCol w:w="1413"/>
      </w:tblGrid>
      <w:tr w14:paraId="762A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6" w:type="pct"/>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14:paraId="494FE9C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现状地类</w:t>
            </w:r>
          </w:p>
        </w:tc>
        <w:tc>
          <w:tcPr>
            <w:tcW w:w="1823" w:type="pct"/>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14:paraId="04227E4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34D5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nil"/>
              <w:left w:val="single" w:color="000000" w:sz="8" w:space="0"/>
              <w:bottom w:val="single" w:color="000000" w:sz="8" w:space="0"/>
              <w:right w:val="single" w:color="000000" w:sz="8" w:space="0"/>
            </w:tcBorders>
            <w:shd w:val="clear" w:color="auto" w:fill="auto"/>
            <w:noWrap/>
            <w:vAlign w:val="bottom"/>
          </w:tcPr>
          <w:p w14:paraId="3624A26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三大类</w:t>
            </w:r>
          </w:p>
        </w:tc>
        <w:tc>
          <w:tcPr>
            <w:tcW w:w="1269" w:type="pct"/>
            <w:tcBorders>
              <w:top w:val="nil"/>
              <w:left w:val="single" w:color="000000" w:sz="8" w:space="0"/>
              <w:bottom w:val="single" w:color="000000" w:sz="8" w:space="0"/>
              <w:right w:val="single" w:color="000000" w:sz="8" w:space="0"/>
            </w:tcBorders>
            <w:shd w:val="clear" w:color="auto" w:fill="auto"/>
            <w:noWrap/>
            <w:vAlign w:val="bottom"/>
          </w:tcPr>
          <w:p w14:paraId="78CD240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一级类</w:t>
            </w:r>
          </w:p>
        </w:tc>
        <w:tc>
          <w:tcPr>
            <w:tcW w:w="127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7A5E4BC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二级类</w:t>
            </w:r>
          </w:p>
        </w:tc>
        <w:tc>
          <w:tcPr>
            <w:tcW w:w="9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3DAB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面积（公顷）</w:t>
            </w:r>
          </w:p>
        </w:tc>
        <w:tc>
          <w:tcPr>
            <w:tcW w:w="8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6511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比例（</w:t>
            </w:r>
            <w:r>
              <w:rPr>
                <w:rFonts w:hint="default" w:ascii="Times New Roman" w:hAnsi="Times New Roman" w:eastAsia="仿宋" w:cs="Times New Roman"/>
                <w:i w:val="0"/>
                <w:iCs w:val="0"/>
                <w:color w:val="000000"/>
                <w:kern w:val="0"/>
                <w:sz w:val="21"/>
                <w:szCs w:val="21"/>
                <w:u w:val="none"/>
                <w:lang w:val="en-US" w:eastAsia="zh-CN" w:bidi="ar"/>
              </w:rPr>
              <w:t>%</w:t>
            </w:r>
            <w:r>
              <w:rPr>
                <w:rFonts w:hint="eastAsia" w:ascii="Times New Roman" w:hAnsi="Times New Roman" w:eastAsia="仿宋" w:cs="Times New Roman"/>
                <w:i w:val="0"/>
                <w:iCs w:val="0"/>
                <w:color w:val="000000"/>
                <w:kern w:val="0"/>
                <w:sz w:val="21"/>
                <w:szCs w:val="21"/>
                <w:u w:val="none"/>
                <w:lang w:val="en-US" w:eastAsia="zh-CN" w:bidi="ar"/>
              </w:rPr>
              <w:t>）</w:t>
            </w:r>
          </w:p>
        </w:tc>
      </w:tr>
      <w:tr w14:paraId="2391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2249921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A2E12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152E065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旱地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051770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38.0698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49BBFF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82.86 </w:t>
            </w:r>
          </w:p>
        </w:tc>
      </w:tr>
      <w:tr w14:paraId="5D87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C802789">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99D24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种植园用地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67988B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果园</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03F00CE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1.0600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F9542B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2.31 </w:t>
            </w:r>
          </w:p>
        </w:tc>
      </w:tr>
      <w:tr w14:paraId="65E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101090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0D06DA3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7599DE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乔木林地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1058B0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0.1613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E190E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0.35 </w:t>
            </w:r>
          </w:p>
        </w:tc>
      </w:tr>
      <w:tr w14:paraId="4618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B88EF8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51DA3D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E8C09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9F7D1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0.0963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A52DA9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0.21 </w:t>
            </w:r>
          </w:p>
        </w:tc>
      </w:tr>
      <w:tr w14:paraId="5671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B6B1E4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90ACA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2549F9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其他草地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3CA450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0.0308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3F9AA93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0.07 </w:t>
            </w:r>
          </w:p>
        </w:tc>
      </w:tr>
      <w:tr w14:paraId="1BFA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0FC649E">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08A8DC9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3B79A8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农村道路</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4C4C6B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0.4056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6509EB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0.88 </w:t>
            </w:r>
          </w:p>
        </w:tc>
      </w:tr>
      <w:tr w14:paraId="7258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A72FC5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616BE0A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其他土地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2203D2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设施农用地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569BB1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0.0521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2F153D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0.11 </w:t>
            </w:r>
          </w:p>
        </w:tc>
      </w:tr>
      <w:tr w14:paraId="07D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36BE995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1E55B78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CFF713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39.8759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DCC345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86.79 </w:t>
            </w:r>
          </w:p>
        </w:tc>
      </w:tr>
      <w:tr w14:paraId="4B19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471A2E3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317C06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97CC29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BE02CC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1.0535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1B425E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w:t>
            </w:r>
            <w:r>
              <w:rPr>
                <w:rFonts w:hint="eastAsia" w:ascii="Times New Roman" w:hAnsi="Times New Roman" w:eastAsia="仿宋" w:cs="Times New Roman"/>
                <w:i w:val="0"/>
                <w:iCs w:val="0"/>
                <w:color w:val="000000"/>
                <w:kern w:val="0"/>
                <w:sz w:val="21"/>
                <w:szCs w:val="21"/>
                <w:u w:val="none"/>
                <w:lang w:val="en-US" w:eastAsia="zh-CN" w:bidi="ar"/>
              </w:rPr>
              <w:t>8</w:t>
            </w:r>
            <w:r>
              <w:rPr>
                <w:rFonts w:hint="default" w:ascii="Times New Roman" w:hAnsi="Times New Roman" w:eastAsia="仿宋" w:cs="Times New Roman"/>
                <w:i w:val="0"/>
                <w:iCs w:val="0"/>
                <w:color w:val="000000"/>
                <w:kern w:val="0"/>
                <w:sz w:val="21"/>
                <w:szCs w:val="21"/>
                <w:u w:val="none"/>
                <w:lang w:val="en-US" w:eastAsia="zh-CN" w:bidi="ar"/>
              </w:rPr>
              <w:t xml:space="preserve"> </w:t>
            </w:r>
          </w:p>
        </w:tc>
      </w:tr>
      <w:tr w14:paraId="20A8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8C74C7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88DF565">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18968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物流仓储用地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57811F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0.0019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3F8D29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w:t>
            </w:r>
            <w:r>
              <w:rPr>
                <w:rFonts w:hint="eastAsia" w:ascii="Times New Roman" w:hAnsi="Times New Roman" w:eastAsia="仿宋" w:cs="Times New Roman"/>
                <w:i w:val="0"/>
                <w:iCs w:val="0"/>
                <w:color w:val="000000"/>
                <w:kern w:val="0"/>
                <w:sz w:val="21"/>
                <w:szCs w:val="21"/>
                <w:u w:val="none"/>
                <w:lang w:val="en-US" w:eastAsia="zh-CN" w:bidi="ar"/>
              </w:rPr>
              <w:t>1</w:t>
            </w:r>
          </w:p>
        </w:tc>
      </w:tr>
      <w:tr w14:paraId="7956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2" w:type="pct"/>
            <w:vMerge w:val="continue"/>
            <w:tcBorders>
              <w:left w:val="single" w:color="000000" w:sz="8" w:space="0"/>
              <w:right w:val="single" w:color="000000" w:sz="8" w:space="0"/>
            </w:tcBorders>
            <w:shd w:val="clear" w:color="auto" w:fill="auto"/>
            <w:noWrap/>
            <w:vAlign w:val="center"/>
          </w:tcPr>
          <w:p w14:paraId="5462E32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FC637E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工矿用地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3DE4D9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37C16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0.8591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EA4307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1.87 </w:t>
            </w:r>
          </w:p>
        </w:tc>
      </w:tr>
      <w:tr w14:paraId="253B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B321DF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1A55A11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居住用地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2C4A10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城镇住宅用地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DB3DFC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0.0454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694F0E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0.10 </w:t>
            </w:r>
          </w:p>
        </w:tc>
      </w:tr>
      <w:tr w14:paraId="6DF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A01EE1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10F5DCD8">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B08E26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农村宅基地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E6BC4A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0.1506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44E39C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 </w:t>
            </w:r>
          </w:p>
        </w:tc>
      </w:tr>
      <w:tr w14:paraId="31B2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80307F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47D0513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EC2D63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公园与绿地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F9106A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1.8090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53AB22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3.94 </w:t>
            </w:r>
          </w:p>
        </w:tc>
      </w:tr>
      <w:tr w14:paraId="49BC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6805ADA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34375C3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6A3EB1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广场用地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5AAE017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0.0070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D552AF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0.02 </w:t>
            </w:r>
          </w:p>
        </w:tc>
      </w:tr>
      <w:tr w14:paraId="45B7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62AE09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500C6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7A1D08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公路用地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C314D2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2.1424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38CFB4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4.66 </w:t>
            </w:r>
          </w:p>
        </w:tc>
      </w:tr>
      <w:tr w14:paraId="5E8E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45B5B97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427617C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2E03A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6.0689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0A253E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13.21 </w:t>
            </w:r>
          </w:p>
        </w:tc>
      </w:tr>
      <w:tr w14:paraId="6845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6" w:type="pct"/>
            <w:gridSpan w:val="3"/>
            <w:tcBorders>
              <w:top w:val="nil"/>
              <w:left w:val="single" w:color="000000" w:sz="8" w:space="0"/>
              <w:bottom w:val="single" w:color="000000" w:sz="8" w:space="0"/>
              <w:right w:val="single" w:color="000000" w:sz="8" w:space="0"/>
            </w:tcBorders>
            <w:shd w:val="clear" w:color="auto" w:fill="auto"/>
            <w:noWrap/>
            <w:vAlign w:val="center"/>
          </w:tcPr>
          <w:p w14:paraId="40A16F0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E1CBE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45.9447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ACFAC8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100.00 </w:t>
            </w:r>
          </w:p>
        </w:tc>
      </w:tr>
    </w:tbl>
    <w:p w14:paraId="5A1088F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2.3.3.各片区</w:t>
      </w:r>
      <w:r>
        <w:rPr>
          <w:rFonts w:hint="default" w:ascii="Times New Roman" w:hAnsi="Times New Roman" w:eastAsia="仿宋" w:cs="Times New Roman"/>
          <w:b/>
          <w:bCs/>
          <w:kern w:val="2"/>
          <w:sz w:val="28"/>
          <w:szCs w:val="32"/>
          <w:lang w:val="en-US" w:eastAsia="zh-CN" w:bidi="ar-SA"/>
        </w:rPr>
        <w:t>范围土地利用现状</w:t>
      </w:r>
    </w:p>
    <w:p w14:paraId="276A75B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4.2503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4.2189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0.0007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草地0.0308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建设用地0.0024公顷，不涉及未利用地</w:t>
      </w:r>
      <w:r>
        <w:rPr>
          <w:rFonts w:hint="default" w:ascii="Times New Roman" w:hAnsi="Times New Roman" w:eastAsia="仿宋" w:cs="Times New Roman"/>
          <w:sz w:val="28"/>
          <w:szCs w:val="28"/>
          <w:highlight w:val="none"/>
          <w:lang w:bidi="ar-SA"/>
        </w:rPr>
        <w:t>。</w:t>
      </w:r>
    </w:p>
    <w:p w14:paraId="0A60BAD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36.5672</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34.0473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32.5594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园</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1.0600</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交通运输用地0.3758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其他农用地0.0521公顷</w:t>
      </w:r>
      <w:r>
        <w:rPr>
          <w:rFonts w:hint="default" w:ascii="Times New Roman" w:hAnsi="Times New Roman" w:eastAsia="仿宋" w:cs="Times New Roman"/>
          <w:sz w:val="28"/>
          <w:szCs w:val="28"/>
          <w:highlight w:val="none"/>
          <w:lang w:bidi="ar-SA"/>
        </w:rPr>
        <w:t>）</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建设用地2.4808公顷，未利用地0.0391公顷</w:t>
      </w:r>
      <w:r>
        <w:rPr>
          <w:rFonts w:hint="default" w:ascii="Times New Roman" w:hAnsi="Times New Roman" w:eastAsia="仿宋" w:cs="Times New Roman"/>
          <w:sz w:val="28"/>
          <w:szCs w:val="28"/>
          <w:highlight w:val="none"/>
          <w:lang w:bidi="ar-SA"/>
        </w:rPr>
        <w:t>。</w:t>
      </w:r>
    </w:p>
    <w:p w14:paraId="4E4D526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16.8471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0.2096</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0.0419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交通运输用地0.1677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建设用地16.6375公顷，不涉及未利用地</w:t>
      </w:r>
      <w:r>
        <w:rPr>
          <w:rFonts w:hint="default" w:ascii="Times New Roman" w:hAnsi="Times New Roman" w:eastAsia="仿宋" w:cs="Times New Roman"/>
          <w:sz w:val="28"/>
          <w:szCs w:val="28"/>
          <w:highlight w:val="none"/>
          <w:lang w:bidi="ar-SA"/>
        </w:rPr>
        <w:t>。</w:t>
      </w:r>
    </w:p>
    <w:p w14:paraId="48C7C87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1.9136</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0.3306</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0.2981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交通运输用地0.0325</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建设用地1.5830公顷，不涉及未利用地</w:t>
      </w:r>
      <w:r>
        <w:rPr>
          <w:rFonts w:hint="default" w:ascii="Times New Roman" w:hAnsi="Times New Roman" w:eastAsia="仿宋" w:cs="Times New Roman"/>
          <w:sz w:val="28"/>
          <w:szCs w:val="28"/>
          <w:highlight w:val="none"/>
          <w:lang w:bidi="ar-SA"/>
        </w:rPr>
        <w:t>。</w:t>
      </w:r>
    </w:p>
    <w:p w14:paraId="5D92CDD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3.1105</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建设用地3.1105公顷，不涉及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1F2D373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建设用地1.0053，不涉及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23F7DE3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2.1951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1.1415</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1.0991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0.0424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建设用地1.0535公顷，不涉及未利用地</w:t>
      </w:r>
      <w:r>
        <w:rPr>
          <w:rFonts w:hint="default" w:ascii="Times New Roman" w:hAnsi="Times New Roman" w:eastAsia="仿宋" w:cs="Times New Roman"/>
          <w:sz w:val="28"/>
          <w:szCs w:val="28"/>
          <w:highlight w:val="none"/>
          <w:lang w:bidi="ar-SA"/>
        </w:rPr>
        <w:t>。</w:t>
      </w:r>
    </w:p>
    <w:p w14:paraId="751E695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0.1688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0.0389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不涉及建设用地和未利用地</w:t>
      </w:r>
      <w:r>
        <w:rPr>
          <w:rFonts w:hint="default" w:ascii="Times New Roman" w:hAnsi="Times New Roman" w:eastAsia="仿宋" w:cs="Times New Roman"/>
          <w:sz w:val="28"/>
          <w:szCs w:val="28"/>
          <w:highlight w:val="none"/>
          <w:lang w:bidi="ar-SA"/>
        </w:rPr>
        <w:t>。</w:t>
      </w:r>
    </w:p>
    <w:p w14:paraId="1FFFC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p>
    <w:p w14:paraId="79C8BF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4B057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表2-4各片区土地利用现状统计表</w:t>
      </w:r>
    </w:p>
    <w:p w14:paraId="588663A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765"/>
        <w:gridCol w:w="941"/>
        <w:gridCol w:w="941"/>
        <w:gridCol w:w="831"/>
        <w:gridCol w:w="831"/>
        <w:gridCol w:w="831"/>
        <w:gridCol w:w="1545"/>
        <w:gridCol w:w="1327"/>
        <w:gridCol w:w="1338"/>
        <w:gridCol w:w="1106"/>
        <w:gridCol w:w="1106"/>
        <w:gridCol w:w="941"/>
      </w:tblGrid>
      <w:tr w14:paraId="7F4F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6556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编号</w:t>
            </w:r>
          </w:p>
        </w:tc>
        <w:tc>
          <w:tcPr>
            <w:tcW w:w="623" w:type="pct"/>
            <w:tcBorders>
              <w:top w:val="single" w:color="000000" w:sz="8" w:space="0"/>
              <w:left w:val="nil"/>
              <w:bottom w:val="single" w:color="000000" w:sz="8" w:space="0"/>
              <w:right w:val="single" w:color="000000" w:sz="8" w:space="0"/>
            </w:tcBorders>
            <w:shd w:val="clear" w:color="auto" w:fill="auto"/>
            <w:noWrap/>
            <w:vAlign w:val="center"/>
          </w:tcPr>
          <w:p w14:paraId="363086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3028" w:type="pct"/>
            <w:gridSpan w:val="8"/>
            <w:tcBorders>
              <w:top w:val="single" w:color="000000" w:sz="8" w:space="0"/>
              <w:left w:val="nil"/>
              <w:bottom w:val="single" w:color="000000" w:sz="8" w:space="0"/>
              <w:right w:val="single" w:color="000000" w:sz="8" w:space="0"/>
            </w:tcBorders>
            <w:shd w:val="clear" w:color="auto" w:fill="auto"/>
            <w:noWrap/>
            <w:vAlign w:val="center"/>
          </w:tcPr>
          <w:p w14:paraId="46D494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3BFA14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18B98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未利用地</w:t>
            </w:r>
          </w:p>
        </w:tc>
        <w:tc>
          <w:tcPr>
            <w:tcW w:w="332" w:type="pct"/>
            <w:tcBorders>
              <w:top w:val="single" w:color="000000" w:sz="8" w:space="0"/>
              <w:left w:val="nil"/>
              <w:bottom w:val="single" w:color="000000" w:sz="8" w:space="0"/>
              <w:right w:val="single" w:color="000000" w:sz="8" w:space="0"/>
            </w:tcBorders>
            <w:shd w:val="clear" w:color="auto" w:fill="auto"/>
            <w:noWrap/>
            <w:vAlign w:val="center"/>
          </w:tcPr>
          <w:p w14:paraId="6132B2F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r>
      <w:tr w14:paraId="729A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 w:type="pct"/>
            <w:vMerge w:val="restart"/>
            <w:tcBorders>
              <w:top w:val="nil"/>
              <w:left w:val="single" w:color="000000" w:sz="8" w:space="0"/>
              <w:bottom w:val="single" w:color="000000" w:sz="8" w:space="0"/>
              <w:right w:val="single" w:color="000000" w:sz="8" w:space="0"/>
            </w:tcBorders>
            <w:shd w:val="clear" w:color="auto" w:fill="auto"/>
            <w:noWrap/>
            <w:vAlign w:val="center"/>
          </w:tcPr>
          <w:p w14:paraId="47F4E9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restart"/>
            <w:tcBorders>
              <w:top w:val="nil"/>
              <w:left w:val="nil"/>
              <w:bottom w:val="single" w:color="000000" w:sz="8" w:space="0"/>
              <w:right w:val="single" w:color="000000" w:sz="8" w:space="0"/>
            </w:tcBorders>
            <w:shd w:val="clear" w:color="auto" w:fill="auto"/>
            <w:noWrap/>
            <w:vAlign w:val="center"/>
          </w:tcPr>
          <w:p w14:paraId="563B6C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nil"/>
              <w:left w:val="nil"/>
              <w:bottom w:val="single" w:color="000000" w:sz="8" w:space="0"/>
              <w:right w:val="single" w:color="000000" w:sz="8" w:space="0"/>
            </w:tcBorders>
            <w:shd w:val="clear" w:color="auto" w:fill="auto"/>
            <w:noWrap/>
            <w:vAlign w:val="center"/>
          </w:tcPr>
          <w:p w14:paraId="00E6B8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32" w:type="pct"/>
            <w:vMerge w:val="restart"/>
            <w:tcBorders>
              <w:top w:val="nil"/>
              <w:left w:val="nil"/>
              <w:bottom w:val="single" w:color="000000" w:sz="8" w:space="0"/>
              <w:right w:val="single" w:color="000000" w:sz="8" w:space="0"/>
            </w:tcBorders>
            <w:shd w:val="clear" w:color="auto" w:fill="auto"/>
            <w:noWrap/>
            <w:vAlign w:val="center"/>
          </w:tcPr>
          <w:p w14:paraId="4A86F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6CF04F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53FB894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园地</w:t>
            </w:r>
          </w:p>
        </w:tc>
        <w:tc>
          <w:tcPr>
            <w:tcW w:w="293" w:type="pct"/>
            <w:vMerge w:val="restart"/>
            <w:tcBorders>
              <w:top w:val="single" w:color="000000" w:sz="8" w:space="0"/>
              <w:left w:val="nil"/>
              <w:bottom w:val="single" w:color="000000" w:sz="8" w:space="0"/>
              <w:right w:val="single" w:color="000000" w:sz="8" w:space="0"/>
            </w:tcBorders>
            <w:shd w:val="clear" w:color="auto" w:fill="auto"/>
            <w:noWrap/>
            <w:vAlign w:val="center"/>
          </w:tcPr>
          <w:p w14:paraId="7B3EA4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545" w:type="pct"/>
            <w:vMerge w:val="restart"/>
            <w:tcBorders>
              <w:top w:val="single" w:color="000000" w:sz="8" w:space="0"/>
              <w:left w:val="nil"/>
              <w:bottom w:val="single" w:color="000000" w:sz="8" w:space="0"/>
              <w:right w:val="single" w:color="000000" w:sz="8" w:space="0"/>
            </w:tcBorders>
            <w:shd w:val="clear" w:color="auto" w:fill="auto"/>
            <w:noWrap/>
            <w:vAlign w:val="center"/>
          </w:tcPr>
          <w:p w14:paraId="59288F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468" w:type="pct"/>
            <w:tcBorders>
              <w:top w:val="single" w:color="000000" w:sz="8" w:space="0"/>
              <w:left w:val="nil"/>
              <w:bottom w:val="nil"/>
              <w:right w:val="single" w:color="000000" w:sz="8" w:space="0"/>
            </w:tcBorders>
            <w:shd w:val="clear" w:color="auto" w:fill="auto"/>
            <w:vAlign w:val="center"/>
          </w:tcPr>
          <w:p w14:paraId="0B5900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水域及水利</w:t>
            </w:r>
          </w:p>
        </w:tc>
        <w:tc>
          <w:tcPr>
            <w:tcW w:w="468" w:type="pct"/>
            <w:vMerge w:val="restart"/>
            <w:tcBorders>
              <w:top w:val="single" w:color="000000" w:sz="8" w:space="0"/>
              <w:left w:val="nil"/>
              <w:bottom w:val="single" w:color="000000" w:sz="8" w:space="0"/>
              <w:right w:val="single" w:color="000000" w:sz="8" w:space="0"/>
            </w:tcBorders>
            <w:shd w:val="clear" w:color="auto" w:fill="auto"/>
            <w:noWrap/>
            <w:vAlign w:val="center"/>
          </w:tcPr>
          <w:p w14:paraId="17AA8D8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其他农用地</w:t>
            </w: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47EAEC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757F57E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single" w:color="000000" w:sz="8" w:space="0"/>
              <w:left w:val="nil"/>
              <w:bottom w:val="single" w:color="000000" w:sz="8" w:space="0"/>
              <w:right w:val="single" w:color="000000" w:sz="8" w:space="0"/>
            </w:tcBorders>
            <w:shd w:val="clear" w:color="auto" w:fill="auto"/>
            <w:noWrap/>
            <w:vAlign w:val="center"/>
          </w:tcPr>
          <w:p w14:paraId="435B0D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88D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D951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continue"/>
            <w:tcBorders>
              <w:top w:val="nil"/>
              <w:left w:val="nil"/>
              <w:bottom w:val="single" w:color="000000" w:sz="8" w:space="0"/>
              <w:right w:val="single" w:color="000000" w:sz="8" w:space="0"/>
            </w:tcBorders>
            <w:shd w:val="clear" w:color="auto" w:fill="auto"/>
            <w:noWrap/>
            <w:vAlign w:val="center"/>
          </w:tcPr>
          <w:p w14:paraId="654FC9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3798617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1CAC9E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D9505D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F55E2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0700FA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45" w:type="pct"/>
            <w:vMerge w:val="continue"/>
            <w:tcBorders>
              <w:top w:val="single" w:color="000000" w:sz="8" w:space="0"/>
              <w:left w:val="nil"/>
              <w:bottom w:val="single" w:color="000000" w:sz="8" w:space="0"/>
              <w:right w:val="single" w:color="000000" w:sz="8" w:space="0"/>
            </w:tcBorders>
            <w:shd w:val="clear" w:color="auto" w:fill="auto"/>
            <w:noWrap/>
            <w:vAlign w:val="center"/>
          </w:tcPr>
          <w:p w14:paraId="510529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468" w:type="pct"/>
            <w:tcBorders>
              <w:top w:val="nil"/>
              <w:left w:val="nil"/>
              <w:bottom w:val="single" w:color="000000" w:sz="8" w:space="0"/>
              <w:right w:val="single" w:color="000000" w:sz="8" w:space="0"/>
            </w:tcBorders>
            <w:shd w:val="clear" w:color="auto" w:fill="auto"/>
            <w:vAlign w:val="center"/>
          </w:tcPr>
          <w:p w14:paraId="5DDBD24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设施用地</w:t>
            </w:r>
          </w:p>
        </w:tc>
        <w:tc>
          <w:tcPr>
            <w:tcW w:w="468"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980376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1DA62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9989F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single" w:color="000000" w:sz="8" w:space="0"/>
              <w:left w:val="nil"/>
              <w:bottom w:val="single" w:color="000000" w:sz="8" w:space="0"/>
              <w:right w:val="single" w:color="000000" w:sz="8" w:space="0"/>
            </w:tcBorders>
            <w:shd w:val="clear" w:color="auto" w:fill="auto"/>
            <w:noWrap/>
            <w:vAlign w:val="center"/>
          </w:tcPr>
          <w:p w14:paraId="2F0A1F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FE3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6296C8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623" w:type="pct"/>
            <w:tcBorders>
              <w:top w:val="nil"/>
              <w:left w:val="nil"/>
              <w:bottom w:val="single" w:color="000000" w:sz="8" w:space="0"/>
              <w:right w:val="single" w:color="000000" w:sz="8" w:space="0"/>
            </w:tcBorders>
            <w:shd w:val="clear" w:color="auto" w:fill="auto"/>
            <w:noWrap/>
            <w:vAlign w:val="bottom"/>
          </w:tcPr>
          <w:p w14:paraId="78EC9C7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32" w:type="pct"/>
            <w:tcBorders>
              <w:top w:val="nil"/>
              <w:left w:val="nil"/>
              <w:bottom w:val="single" w:color="000000" w:sz="8" w:space="0"/>
              <w:right w:val="single" w:color="000000" w:sz="8" w:space="0"/>
            </w:tcBorders>
            <w:shd w:val="clear" w:color="auto" w:fill="auto"/>
            <w:noWrap/>
            <w:vAlign w:val="center"/>
          </w:tcPr>
          <w:p w14:paraId="124A33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4.2503 </w:t>
            </w:r>
          </w:p>
        </w:tc>
        <w:tc>
          <w:tcPr>
            <w:tcW w:w="332" w:type="pct"/>
            <w:tcBorders>
              <w:top w:val="nil"/>
              <w:left w:val="nil"/>
              <w:bottom w:val="single" w:color="000000" w:sz="8" w:space="0"/>
              <w:right w:val="single" w:color="000000" w:sz="8" w:space="0"/>
            </w:tcBorders>
            <w:shd w:val="clear" w:color="auto" w:fill="auto"/>
            <w:noWrap/>
            <w:vAlign w:val="center"/>
          </w:tcPr>
          <w:p w14:paraId="24CB2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4.2189 </w:t>
            </w:r>
          </w:p>
        </w:tc>
        <w:tc>
          <w:tcPr>
            <w:tcW w:w="293" w:type="pct"/>
            <w:tcBorders>
              <w:top w:val="nil"/>
              <w:left w:val="nil"/>
              <w:bottom w:val="single" w:color="000000" w:sz="8" w:space="0"/>
              <w:right w:val="single" w:color="000000" w:sz="8" w:space="0"/>
            </w:tcBorders>
            <w:shd w:val="clear" w:color="auto" w:fill="auto"/>
            <w:noWrap/>
            <w:vAlign w:val="center"/>
          </w:tcPr>
          <w:p w14:paraId="11F939B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0.0007 </w:t>
            </w:r>
          </w:p>
        </w:tc>
        <w:tc>
          <w:tcPr>
            <w:tcW w:w="293" w:type="pct"/>
            <w:tcBorders>
              <w:top w:val="nil"/>
              <w:left w:val="nil"/>
              <w:bottom w:val="single" w:color="000000" w:sz="8" w:space="0"/>
              <w:right w:val="single" w:color="000000" w:sz="8" w:space="0"/>
            </w:tcBorders>
            <w:shd w:val="clear" w:color="auto" w:fill="auto"/>
            <w:noWrap/>
            <w:vAlign w:val="center"/>
          </w:tcPr>
          <w:p w14:paraId="5ACE8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0266E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607C8D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01E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20599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963FE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0.0024 </w:t>
            </w:r>
          </w:p>
        </w:tc>
        <w:tc>
          <w:tcPr>
            <w:tcW w:w="390" w:type="pct"/>
            <w:tcBorders>
              <w:top w:val="nil"/>
              <w:left w:val="nil"/>
              <w:bottom w:val="single" w:color="000000" w:sz="8" w:space="0"/>
              <w:right w:val="single" w:color="000000" w:sz="8" w:space="0"/>
            </w:tcBorders>
            <w:shd w:val="clear" w:color="auto" w:fill="auto"/>
            <w:noWrap/>
            <w:vAlign w:val="center"/>
          </w:tcPr>
          <w:p w14:paraId="0800A7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4C4BE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4.2528 </w:t>
            </w:r>
          </w:p>
        </w:tc>
      </w:tr>
      <w:tr w14:paraId="060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5A1A13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623" w:type="pct"/>
            <w:tcBorders>
              <w:top w:val="nil"/>
              <w:left w:val="nil"/>
              <w:bottom w:val="single" w:color="000000" w:sz="8" w:space="0"/>
              <w:right w:val="single" w:color="000000" w:sz="8" w:space="0"/>
            </w:tcBorders>
            <w:shd w:val="clear" w:color="auto" w:fill="auto"/>
            <w:noWrap/>
            <w:vAlign w:val="bottom"/>
          </w:tcPr>
          <w:p w14:paraId="64DAE7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32" w:type="pct"/>
            <w:tcBorders>
              <w:top w:val="nil"/>
              <w:left w:val="nil"/>
              <w:bottom w:val="single" w:color="000000" w:sz="8" w:space="0"/>
              <w:right w:val="single" w:color="000000" w:sz="8" w:space="0"/>
            </w:tcBorders>
            <w:shd w:val="clear" w:color="auto" w:fill="auto"/>
            <w:noWrap/>
            <w:vAlign w:val="center"/>
          </w:tcPr>
          <w:p w14:paraId="5048D6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34.0473 </w:t>
            </w:r>
          </w:p>
        </w:tc>
        <w:tc>
          <w:tcPr>
            <w:tcW w:w="332" w:type="pct"/>
            <w:tcBorders>
              <w:top w:val="nil"/>
              <w:left w:val="nil"/>
              <w:bottom w:val="single" w:color="000000" w:sz="8" w:space="0"/>
              <w:right w:val="single" w:color="000000" w:sz="8" w:space="0"/>
            </w:tcBorders>
            <w:shd w:val="clear" w:color="auto" w:fill="auto"/>
            <w:noWrap/>
            <w:vAlign w:val="center"/>
          </w:tcPr>
          <w:p w14:paraId="1F2CC6E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32.5594 </w:t>
            </w:r>
          </w:p>
        </w:tc>
        <w:tc>
          <w:tcPr>
            <w:tcW w:w="293" w:type="pct"/>
            <w:tcBorders>
              <w:top w:val="nil"/>
              <w:left w:val="nil"/>
              <w:bottom w:val="single" w:color="000000" w:sz="8" w:space="0"/>
              <w:right w:val="single" w:color="000000" w:sz="8" w:space="0"/>
            </w:tcBorders>
            <w:shd w:val="clear" w:color="auto" w:fill="auto"/>
            <w:noWrap/>
            <w:vAlign w:val="center"/>
          </w:tcPr>
          <w:p w14:paraId="02F93B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E2D3C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22F4AF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7108A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0.3758 </w:t>
            </w:r>
          </w:p>
        </w:tc>
        <w:tc>
          <w:tcPr>
            <w:tcW w:w="468" w:type="pct"/>
            <w:tcBorders>
              <w:top w:val="nil"/>
              <w:left w:val="nil"/>
              <w:bottom w:val="single" w:color="000000" w:sz="8" w:space="0"/>
              <w:right w:val="single" w:color="000000" w:sz="8" w:space="0"/>
            </w:tcBorders>
            <w:shd w:val="clear" w:color="auto" w:fill="auto"/>
            <w:noWrap/>
            <w:vAlign w:val="center"/>
          </w:tcPr>
          <w:p w14:paraId="7B61C1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6C3E0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A32C0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2.4808 </w:t>
            </w:r>
          </w:p>
        </w:tc>
        <w:tc>
          <w:tcPr>
            <w:tcW w:w="390" w:type="pct"/>
            <w:tcBorders>
              <w:top w:val="nil"/>
              <w:left w:val="nil"/>
              <w:bottom w:val="single" w:color="000000" w:sz="8" w:space="0"/>
              <w:right w:val="single" w:color="000000" w:sz="8" w:space="0"/>
            </w:tcBorders>
            <w:shd w:val="clear" w:color="auto" w:fill="auto"/>
            <w:noWrap/>
            <w:vAlign w:val="center"/>
          </w:tcPr>
          <w:p w14:paraId="6BB80AC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7395EB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36.5672 </w:t>
            </w:r>
          </w:p>
        </w:tc>
      </w:tr>
      <w:tr w14:paraId="56AB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10480E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623" w:type="pct"/>
            <w:tcBorders>
              <w:top w:val="nil"/>
              <w:left w:val="nil"/>
              <w:bottom w:val="single" w:color="000000" w:sz="8" w:space="0"/>
              <w:right w:val="single" w:color="000000" w:sz="8" w:space="0"/>
            </w:tcBorders>
            <w:shd w:val="clear" w:color="auto" w:fill="auto"/>
            <w:noWrap/>
            <w:vAlign w:val="bottom"/>
          </w:tcPr>
          <w:p w14:paraId="6F5253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32" w:type="pct"/>
            <w:tcBorders>
              <w:top w:val="nil"/>
              <w:left w:val="nil"/>
              <w:bottom w:val="single" w:color="000000" w:sz="8" w:space="0"/>
              <w:right w:val="single" w:color="000000" w:sz="8" w:space="0"/>
            </w:tcBorders>
            <w:shd w:val="clear" w:color="auto" w:fill="auto"/>
            <w:noWrap/>
            <w:vAlign w:val="center"/>
          </w:tcPr>
          <w:p w14:paraId="000E6B4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0.2096 </w:t>
            </w:r>
          </w:p>
        </w:tc>
        <w:tc>
          <w:tcPr>
            <w:tcW w:w="332" w:type="pct"/>
            <w:tcBorders>
              <w:top w:val="nil"/>
              <w:left w:val="nil"/>
              <w:bottom w:val="single" w:color="000000" w:sz="8" w:space="0"/>
              <w:right w:val="single" w:color="000000" w:sz="8" w:space="0"/>
            </w:tcBorders>
            <w:shd w:val="clear" w:color="auto" w:fill="auto"/>
            <w:noWrap/>
            <w:vAlign w:val="center"/>
          </w:tcPr>
          <w:p w14:paraId="6F069A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0.0419 </w:t>
            </w:r>
          </w:p>
        </w:tc>
        <w:tc>
          <w:tcPr>
            <w:tcW w:w="293" w:type="pct"/>
            <w:tcBorders>
              <w:top w:val="nil"/>
              <w:left w:val="nil"/>
              <w:bottom w:val="single" w:color="000000" w:sz="8" w:space="0"/>
              <w:right w:val="single" w:color="000000" w:sz="8" w:space="0"/>
            </w:tcBorders>
            <w:shd w:val="clear" w:color="auto" w:fill="auto"/>
            <w:noWrap/>
            <w:vAlign w:val="center"/>
          </w:tcPr>
          <w:p w14:paraId="5910BA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CE836B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7AD4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1FB599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0.1677 </w:t>
            </w:r>
          </w:p>
        </w:tc>
        <w:tc>
          <w:tcPr>
            <w:tcW w:w="468" w:type="pct"/>
            <w:tcBorders>
              <w:top w:val="nil"/>
              <w:left w:val="nil"/>
              <w:bottom w:val="single" w:color="000000" w:sz="8" w:space="0"/>
              <w:right w:val="single" w:color="000000" w:sz="8" w:space="0"/>
            </w:tcBorders>
            <w:shd w:val="clear" w:color="auto" w:fill="auto"/>
            <w:noWrap/>
            <w:vAlign w:val="center"/>
          </w:tcPr>
          <w:p w14:paraId="075EAC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824CA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66BC07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16.6375 </w:t>
            </w:r>
          </w:p>
        </w:tc>
        <w:tc>
          <w:tcPr>
            <w:tcW w:w="390" w:type="pct"/>
            <w:tcBorders>
              <w:top w:val="nil"/>
              <w:left w:val="nil"/>
              <w:bottom w:val="single" w:color="000000" w:sz="8" w:space="0"/>
              <w:right w:val="single" w:color="000000" w:sz="8" w:space="0"/>
            </w:tcBorders>
            <w:shd w:val="clear" w:color="auto" w:fill="auto"/>
            <w:noWrap/>
            <w:vAlign w:val="center"/>
          </w:tcPr>
          <w:p w14:paraId="375674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8EF13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16.8471 </w:t>
            </w:r>
          </w:p>
        </w:tc>
      </w:tr>
      <w:tr w14:paraId="7370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3C701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623" w:type="pct"/>
            <w:tcBorders>
              <w:top w:val="nil"/>
              <w:left w:val="nil"/>
              <w:bottom w:val="single" w:color="000000" w:sz="8" w:space="0"/>
              <w:right w:val="single" w:color="000000" w:sz="8" w:space="0"/>
            </w:tcBorders>
            <w:shd w:val="clear" w:color="auto" w:fill="auto"/>
            <w:noWrap/>
            <w:vAlign w:val="bottom"/>
          </w:tcPr>
          <w:p w14:paraId="30C32F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32" w:type="pct"/>
            <w:tcBorders>
              <w:top w:val="nil"/>
              <w:left w:val="nil"/>
              <w:bottom w:val="single" w:color="000000" w:sz="8" w:space="0"/>
              <w:right w:val="single" w:color="000000" w:sz="8" w:space="0"/>
            </w:tcBorders>
            <w:shd w:val="clear" w:color="auto" w:fill="auto"/>
            <w:noWrap/>
            <w:vAlign w:val="center"/>
          </w:tcPr>
          <w:p w14:paraId="1F6B0B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0.3306 </w:t>
            </w:r>
          </w:p>
        </w:tc>
        <w:tc>
          <w:tcPr>
            <w:tcW w:w="332" w:type="pct"/>
            <w:tcBorders>
              <w:top w:val="nil"/>
              <w:left w:val="nil"/>
              <w:bottom w:val="single" w:color="000000" w:sz="8" w:space="0"/>
              <w:right w:val="single" w:color="000000" w:sz="8" w:space="0"/>
            </w:tcBorders>
            <w:shd w:val="clear" w:color="auto" w:fill="auto"/>
            <w:noWrap/>
            <w:vAlign w:val="center"/>
          </w:tcPr>
          <w:p w14:paraId="23D16C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AD31D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0.2981 </w:t>
            </w:r>
          </w:p>
        </w:tc>
        <w:tc>
          <w:tcPr>
            <w:tcW w:w="293" w:type="pct"/>
            <w:tcBorders>
              <w:top w:val="nil"/>
              <w:left w:val="nil"/>
              <w:bottom w:val="single" w:color="000000" w:sz="8" w:space="0"/>
              <w:right w:val="single" w:color="000000" w:sz="8" w:space="0"/>
            </w:tcBorders>
            <w:shd w:val="clear" w:color="auto" w:fill="auto"/>
            <w:noWrap/>
            <w:vAlign w:val="center"/>
          </w:tcPr>
          <w:p w14:paraId="7BAA0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81E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94CCC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0.0325 </w:t>
            </w:r>
          </w:p>
        </w:tc>
        <w:tc>
          <w:tcPr>
            <w:tcW w:w="468" w:type="pct"/>
            <w:tcBorders>
              <w:top w:val="nil"/>
              <w:left w:val="nil"/>
              <w:bottom w:val="single" w:color="000000" w:sz="8" w:space="0"/>
              <w:right w:val="single" w:color="000000" w:sz="8" w:space="0"/>
            </w:tcBorders>
            <w:shd w:val="clear" w:color="auto" w:fill="auto"/>
            <w:noWrap/>
            <w:vAlign w:val="center"/>
          </w:tcPr>
          <w:p w14:paraId="1EE906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2D7A7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19B3D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1.5830 </w:t>
            </w:r>
          </w:p>
        </w:tc>
        <w:tc>
          <w:tcPr>
            <w:tcW w:w="390" w:type="pct"/>
            <w:tcBorders>
              <w:top w:val="nil"/>
              <w:left w:val="nil"/>
              <w:bottom w:val="single" w:color="000000" w:sz="8" w:space="0"/>
              <w:right w:val="single" w:color="000000" w:sz="8" w:space="0"/>
            </w:tcBorders>
            <w:shd w:val="clear" w:color="auto" w:fill="auto"/>
            <w:noWrap/>
            <w:vAlign w:val="center"/>
          </w:tcPr>
          <w:p w14:paraId="54365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5BEF28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1.9136 </w:t>
            </w:r>
          </w:p>
        </w:tc>
      </w:tr>
      <w:tr w14:paraId="0B7E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4DF140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623" w:type="pct"/>
            <w:tcBorders>
              <w:top w:val="nil"/>
              <w:left w:val="nil"/>
              <w:bottom w:val="single" w:color="000000" w:sz="8" w:space="0"/>
              <w:right w:val="single" w:color="000000" w:sz="8" w:space="0"/>
            </w:tcBorders>
            <w:shd w:val="clear" w:color="auto" w:fill="auto"/>
            <w:noWrap/>
            <w:vAlign w:val="bottom"/>
          </w:tcPr>
          <w:p w14:paraId="475602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32" w:type="pct"/>
            <w:tcBorders>
              <w:top w:val="nil"/>
              <w:left w:val="nil"/>
              <w:bottom w:val="single" w:color="000000" w:sz="8" w:space="0"/>
              <w:right w:val="single" w:color="000000" w:sz="8" w:space="0"/>
            </w:tcBorders>
            <w:shd w:val="clear" w:color="auto" w:fill="auto"/>
            <w:noWrap/>
            <w:vAlign w:val="center"/>
          </w:tcPr>
          <w:p w14:paraId="128052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0DF0A3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0E4B7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C20B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B3FF1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767804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C794B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19C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1B86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c>
          <w:tcPr>
            <w:tcW w:w="390" w:type="pct"/>
            <w:tcBorders>
              <w:top w:val="nil"/>
              <w:left w:val="nil"/>
              <w:bottom w:val="single" w:color="000000" w:sz="8" w:space="0"/>
              <w:right w:val="single" w:color="000000" w:sz="8" w:space="0"/>
            </w:tcBorders>
            <w:shd w:val="clear" w:color="auto" w:fill="auto"/>
            <w:noWrap/>
            <w:vAlign w:val="center"/>
          </w:tcPr>
          <w:p w14:paraId="4DC59F4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45FB512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r>
      <w:tr w14:paraId="544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04E09E9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623" w:type="pct"/>
            <w:tcBorders>
              <w:top w:val="nil"/>
              <w:left w:val="nil"/>
              <w:bottom w:val="single" w:color="000000" w:sz="8" w:space="0"/>
              <w:right w:val="single" w:color="000000" w:sz="8" w:space="0"/>
            </w:tcBorders>
            <w:shd w:val="clear" w:color="auto" w:fill="auto"/>
            <w:noWrap/>
            <w:vAlign w:val="bottom"/>
          </w:tcPr>
          <w:p w14:paraId="398224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32" w:type="pct"/>
            <w:tcBorders>
              <w:top w:val="nil"/>
              <w:left w:val="nil"/>
              <w:bottom w:val="single" w:color="000000" w:sz="8" w:space="0"/>
              <w:right w:val="single" w:color="000000" w:sz="8" w:space="0"/>
            </w:tcBorders>
            <w:shd w:val="clear" w:color="auto" w:fill="auto"/>
            <w:noWrap/>
            <w:vAlign w:val="center"/>
          </w:tcPr>
          <w:p w14:paraId="6C3145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F1001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F3E9C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5C133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C95C19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680528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151E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0D4DA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A1B2B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c>
          <w:tcPr>
            <w:tcW w:w="390" w:type="pct"/>
            <w:tcBorders>
              <w:top w:val="nil"/>
              <w:left w:val="nil"/>
              <w:bottom w:val="single" w:color="000000" w:sz="8" w:space="0"/>
              <w:right w:val="single" w:color="000000" w:sz="8" w:space="0"/>
            </w:tcBorders>
            <w:shd w:val="clear" w:color="auto" w:fill="auto"/>
            <w:noWrap/>
            <w:vAlign w:val="center"/>
          </w:tcPr>
          <w:p w14:paraId="406A0B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1197F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r>
      <w:tr w14:paraId="3124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2545BE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623" w:type="pct"/>
            <w:tcBorders>
              <w:top w:val="nil"/>
              <w:left w:val="nil"/>
              <w:bottom w:val="single" w:color="000000" w:sz="8" w:space="0"/>
              <w:right w:val="single" w:color="000000" w:sz="8" w:space="0"/>
            </w:tcBorders>
            <w:shd w:val="clear" w:color="auto" w:fill="auto"/>
            <w:noWrap/>
            <w:vAlign w:val="bottom"/>
          </w:tcPr>
          <w:p w14:paraId="1DC767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32" w:type="pct"/>
            <w:tcBorders>
              <w:top w:val="nil"/>
              <w:left w:val="nil"/>
              <w:bottom w:val="single" w:color="000000" w:sz="8" w:space="0"/>
              <w:right w:val="single" w:color="000000" w:sz="8" w:space="0"/>
            </w:tcBorders>
            <w:shd w:val="clear" w:color="auto" w:fill="auto"/>
            <w:noWrap/>
            <w:vAlign w:val="center"/>
          </w:tcPr>
          <w:p w14:paraId="5F9BFD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1.1415 </w:t>
            </w:r>
          </w:p>
        </w:tc>
        <w:tc>
          <w:tcPr>
            <w:tcW w:w="332" w:type="pct"/>
            <w:tcBorders>
              <w:top w:val="nil"/>
              <w:left w:val="nil"/>
              <w:bottom w:val="single" w:color="000000" w:sz="8" w:space="0"/>
              <w:right w:val="single" w:color="000000" w:sz="8" w:space="0"/>
            </w:tcBorders>
            <w:shd w:val="clear" w:color="auto" w:fill="auto"/>
            <w:noWrap/>
            <w:vAlign w:val="center"/>
          </w:tcPr>
          <w:p w14:paraId="1010FC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1.0991 </w:t>
            </w:r>
          </w:p>
        </w:tc>
        <w:tc>
          <w:tcPr>
            <w:tcW w:w="293" w:type="pct"/>
            <w:tcBorders>
              <w:top w:val="nil"/>
              <w:left w:val="nil"/>
              <w:bottom w:val="single" w:color="000000" w:sz="8" w:space="0"/>
              <w:right w:val="single" w:color="000000" w:sz="8" w:space="0"/>
            </w:tcBorders>
            <w:shd w:val="clear" w:color="auto" w:fill="auto"/>
            <w:noWrap/>
            <w:vAlign w:val="center"/>
          </w:tcPr>
          <w:p w14:paraId="0E01B3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0.0424 </w:t>
            </w:r>
          </w:p>
        </w:tc>
        <w:tc>
          <w:tcPr>
            <w:tcW w:w="293" w:type="pct"/>
            <w:tcBorders>
              <w:top w:val="nil"/>
              <w:left w:val="nil"/>
              <w:bottom w:val="single" w:color="000000" w:sz="8" w:space="0"/>
              <w:right w:val="single" w:color="000000" w:sz="8" w:space="0"/>
            </w:tcBorders>
            <w:shd w:val="clear" w:color="auto" w:fill="auto"/>
            <w:noWrap/>
            <w:vAlign w:val="center"/>
          </w:tcPr>
          <w:p w14:paraId="6A1C3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4DC1F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B043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EA5A5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93B2E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305112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1.0535 </w:t>
            </w:r>
          </w:p>
        </w:tc>
        <w:tc>
          <w:tcPr>
            <w:tcW w:w="390" w:type="pct"/>
            <w:tcBorders>
              <w:top w:val="nil"/>
              <w:left w:val="nil"/>
              <w:bottom w:val="single" w:color="000000" w:sz="8" w:space="0"/>
              <w:right w:val="single" w:color="000000" w:sz="8" w:space="0"/>
            </w:tcBorders>
            <w:shd w:val="clear" w:color="auto" w:fill="auto"/>
            <w:noWrap/>
            <w:vAlign w:val="center"/>
          </w:tcPr>
          <w:p w14:paraId="6C9C9E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9905C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5861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761FE1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623" w:type="pct"/>
            <w:tcBorders>
              <w:top w:val="nil"/>
              <w:left w:val="nil"/>
              <w:bottom w:val="single" w:color="000000" w:sz="8" w:space="0"/>
              <w:right w:val="single" w:color="000000" w:sz="8" w:space="0"/>
            </w:tcBorders>
            <w:shd w:val="clear" w:color="auto" w:fill="auto"/>
            <w:noWrap/>
            <w:vAlign w:val="bottom"/>
          </w:tcPr>
          <w:p w14:paraId="238625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32" w:type="pct"/>
            <w:tcBorders>
              <w:top w:val="nil"/>
              <w:left w:val="nil"/>
              <w:bottom w:val="single" w:color="000000" w:sz="8" w:space="0"/>
              <w:right w:val="single" w:color="000000" w:sz="8" w:space="0"/>
            </w:tcBorders>
            <w:shd w:val="clear" w:color="auto" w:fill="auto"/>
            <w:noWrap/>
            <w:vAlign w:val="center"/>
          </w:tcPr>
          <w:p w14:paraId="38EC7B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c>
          <w:tcPr>
            <w:tcW w:w="332" w:type="pct"/>
            <w:tcBorders>
              <w:top w:val="nil"/>
              <w:left w:val="nil"/>
              <w:bottom w:val="single" w:color="000000" w:sz="8" w:space="0"/>
              <w:right w:val="single" w:color="000000" w:sz="8" w:space="0"/>
            </w:tcBorders>
            <w:shd w:val="clear" w:color="auto" w:fill="auto"/>
            <w:noWrap/>
            <w:vAlign w:val="center"/>
          </w:tcPr>
          <w:p w14:paraId="2C2D2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0.1688 </w:t>
            </w:r>
          </w:p>
        </w:tc>
        <w:tc>
          <w:tcPr>
            <w:tcW w:w="293" w:type="pct"/>
            <w:tcBorders>
              <w:top w:val="nil"/>
              <w:left w:val="nil"/>
              <w:bottom w:val="single" w:color="000000" w:sz="8" w:space="0"/>
              <w:right w:val="single" w:color="000000" w:sz="8" w:space="0"/>
            </w:tcBorders>
            <w:shd w:val="clear" w:color="auto" w:fill="auto"/>
            <w:noWrap/>
            <w:vAlign w:val="center"/>
          </w:tcPr>
          <w:p w14:paraId="4B0248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0.0389 </w:t>
            </w:r>
          </w:p>
        </w:tc>
        <w:tc>
          <w:tcPr>
            <w:tcW w:w="293" w:type="pct"/>
            <w:tcBorders>
              <w:top w:val="nil"/>
              <w:left w:val="nil"/>
              <w:bottom w:val="single" w:color="000000" w:sz="8" w:space="0"/>
              <w:right w:val="single" w:color="000000" w:sz="8" w:space="0"/>
            </w:tcBorders>
            <w:shd w:val="clear" w:color="auto" w:fill="auto"/>
            <w:noWrap/>
            <w:vAlign w:val="center"/>
          </w:tcPr>
          <w:p w14:paraId="5BC22E8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66F79C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0B9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85B69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7986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5DF9E8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C32E9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E52D5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66B3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 w:type="pct"/>
            <w:gridSpan w:val="2"/>
            <w:tcBorders>
              <w:top w:val="nil"/>
              <w:left w:val="single" w:color="000000" w:sz="8" w:space="0"/>
              <w:bottom w:val="single" w:color="000000" w:sz="8" w:space="0"/>
              <w:right w:val="single" w:color="000000" w:sz="8" w:space="0"/>
            </w:tcBorders>
            <w:shd w:val="clear" w:color="auto" w:fill="auto"/>
            <w:noWrap/>
            <w:vAlign w:val="center"/>
          </w:tcPr>
          <w:p w14:paraId="78D6FDF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32" w:type="pct"/>
            <w:tcBorders>
              <w:top w:val="nil"/>
              <w:left w:val="nil"/>
              <w:bottom w:val="single" w:color="000000" w:sz="8" w:space="0"/>
              <w:right w:val="single" w:color="000000" w:sz="8" w:space="0"/>
            </w:tcBorders>
            <w:shd w:val="clear" w:color="auto" w:fill="auto"/>
            <w:noWrap/>
            <w:vAlign w:val="center"/>
          </w:tcPr>
          <w:p w14:paraId="4A2113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40.1870 </w:t>
            </w:r>
          </w:p>
        </w:tc>
        <w:tc>
          <w:tcPr>
            <w:tcW w:w="332" w:type="pct"/>
            <w:tcBorders>
              <w:top w:val="nil"/>
              <w:left w:val="nil"/>
              <w:bottom w:val="single" w:color="000000" w:sz="8" w:space="0"/>
              <w:right w:val="single" w:color="000000" w:sz="8" w:space="0"/>
            </w:tcBorders>
            <w:shd w:val="clear" w:color="auto" w:fill="auto"/>
            <w:noWrap/>
            <w:vAlign w:val="center"/>
          </w:tcPr>
          <w:p w14:paraId="4950A3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38.0881 </w:t>
            </w:r>
          </w:p>
        </w:tc>
        <w:tc>
          <w:tcPr>
            <w:tcW w:w="293" w:type="pct"/>
            <w:tcBorders>
              <w:top w:val="nil"/>
              <w:left w:val="nil"/>
              <w:bottom w:val="single" w:color="000000" w:sz="8" w:space="0"/>
              <w:right w:val="single" w:color="000000" w:sz="8" w:space="0"/>
            </w:tcBorders>
            <w:shd w:val="clear" w:color="auto" w:fill="auto"/>
            <w:noWrap/>
            <w:vAlign w:val="center"/>
          </w:tcPr>
          <w:p w14:paraId="2DD224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0.3800 </w:t>
            </w:r>
          </w:p>
        </w:tc>
        <w:tc>
          <w:tcPr>
            <w:tcW w:w="293" w:type="pct"/>
            <w:tcBorders>
              <w:top w:val="nil"/>
              <w:left w:val="nil"/>
              <w:bottom w:val="single" w:color="000000" w:sz="8" w:space="0"/>
              <w:right w:val="single" w:color="000000" w:sz="8" w:space="0"/>
            </w:tcBorders>
            <w:shd w:val="clear" w:color="auto" w:fill="auto"/>
            <w:noWrap/>
            <w:vAlign w:val="center"/>
          </w:tcPr>
          <w:p w14:paraId="340B7A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65099EC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73329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0.5760 </w:t>
            </w:r>
          </w:p>
        </w:tc>
        <w:tc>
          <w:tcPr>
            <w:tcW w:w="468" w:type="pct"/>
            <w:tcBorders>
              <w:top w:val="nil"/>
              <w:left w:val="nil"/>
              <w:bottom w:val="single" w:color="000000" w:sz="8" w:space="0"/>
              <w:right w:val="single" w:color="000000" w:sz="8" w:space="0"/>
            </w:tcBorders>
            <w:shd w:val="clear" w:color="auto" w:fill="auto"/>
            <w:noWrap/>
            <w:vAlign w:val="center"/>
          </w:tcPr>
          <w:p w14:paraId="6FE519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0.0000 </w:t>
            </w:r>
          </w:p>
        </w:tc>
        <w:tc>
          <w:tcPr>
            <w:tcW w:w="468" w:type="pct"/>
            <w:tcBorders>
              <w:top w:val="nil"/>
              <w:left w:val="nil"/>
              <w:bottom w:val="single" w:color="000000" w:sz="8" w:space="0"/>
              <w:right w:val="single" w:color="000000" w:sz="8" w:space="0"/>
            </w:tcBorders>
            <w:shd w:val="clear" w:color="auto" w:fill="auto"/>
            <w:noWrap/>
            <w:vAlign w:val="center"/>
          </w:tcPr>
          <w:p w14:paraId="0559BB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F4363E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25.8731 </w:t>
            </w:r>
          </w:p>
        </w:tc>
        <w:tc>
          <w:tcPr>
            <w:tcW w:w="390" w:type="pct"/>
            <w:tcBorders>
              <w:top w:val="nil"/>
              <w:left w:val="nil"/>
              <w:bottom w:val="single" w:color="000000" w:sz="8" w:space="0"/>
              <w:right w:val="single" w:color="000000" w:sz="8" w:space="0"/>
            </w:tcBorders>
            <w:shd w:val="clear" w:color="auto" w:fill="auto"/>
            <w:noWrap/>
            <w:vAlign w:val="center"/>
          </w:tcPr>
          <w:p w14:paraId="68398D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62AD22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66.0992 </w:t>
            </w:r>
          </w:p>
        </w:tc>
      </w:tr>
    </w:tbl>
    <w:p w14:paraId="548AA50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28"/>
          <w:szCs w:val="32"/>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14:paraId="60576D43">
      <w:pPr>
        <w:pStyle w:val="3"/>
        <w:numPr>
          <w:ilvl w:val="1"/>
          <w:numId w:val="0"/>
        </w:numPr>
        <w:tabs>
          <w:tab w:val="clear" w:pos="420"/>
        </w:tabs>
        <w:bidi w:val="0"/>
        <w:ind w:left="575" w:leftChars="0" w:hanging="575" w:firstLineChars="0"/>
        <w:rPr>
          <w:rFonts w:hint="default"/>
          <w:sz w:val="32"/>
          <w:szCs w:val="32"/>
          <w:lang w:val="en-US"/>
        </w:rPr>
      </w:pPr>
      <w:bookmarkStart w:id="17" w:name="_Toc20612"/>
      <w:r>
        <w:rPr>
          <w:rFonts w:hint="eastAsia" w:ascii="Times New Roman" w:hAnsi="Times New Roman" w:eastAsia="仿宋" w:cs="Times New Roman"/>
          <w:b/>
          <w:bCs/>
          <w:kern w:val="2"/>
          <w:sz w:val="32"/>
          <w:szCs w:val="32"/>
          <w:lang w:val="en-US" w:eastAsia="zh-CN"/>
        </w:rPr>
        <w:t>2.4.</w:t>
      </w:r>
      <w:r>
        <w:rPr>
          <w:rFonts w:hint="default"/>
          <w:sz w:val="32"/>
          <w:szCs w:val="32"/>
        </w:rPr>
        <w:t>土地权属情况</w:t>
      </w:r>
      <w:bookmarkEnd w:id="17"/>
    </w:p>
    <w:p w14:paraId="6EBE631C">
      <w:pPr>
        <w:spacing w:line="240" w:lineRule="auto"/>
        <w:ind w:firstLine="640"/>
        <w:rPr>
          <w:rFonts w:hint="default" w:ascii="Times New Roman" w:hAnsi="Times New Roman" w:eastAsia="仿宋" w:cs="Times New Roman"/>
          <w:sz w:val="28"/>
          <w:szCs w:val="32"/>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w:t>
      </w:r>
      <w:r>
        <w:rPr>
          <w:rFonts w:hint="eastAsia" w:ascii="Times New Roman" w:hAnsi="Times New Roman" w:eastAsia="仿宋" w:cs="Times New Roman"/>
          <w:sz w:val="28"/>
          <w:szCs w:val="32"/>
          <w:highlight w:val="none"/>
          <w:lang w:val="en-US" w:eastAsia="zh-CN" w:bidi="ar-SA"/>
        </w:rPr>
        <w:t>项目用地总面积45.9447</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全部为</w:t>
      </w:r>
      <w:r>
        <w:rPr>
          <w:rFonts w:hint="default" w:ascii="Times New Roman" w:hAnsi="Times New Roman" w:eastAsia="仿宋" w:cs="Times New Roman"/>
          <w:sz w:val="28"/>
          <w:szCs w:val="32"/>
          <w:highlight w:val="none"/>
          <w:lang w:val="en-US" w:eastAsia="zh-CN" w:bidi="ar-SA"/>
        </w:rPr>
        <w:t>集体土地</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sz w:val="28"/>
          <w:szCs w:val="32"/>
          <w:highlight w:val="none"/>
          <w:lang w:val="en-US" w:eastAsia="zh-CN" w:bidi="ar-SA"/>
        </w:rPr>
        <w:t>共涉及</w:t>
      </w:r>
      <w:r>
        <w:rPr>
          <w:rFonts w:hint="eastAsia" w:ascii="Times New Roman" w:hAnsi="Times New Roman" w:eastAsia="仿宋" w:cs="Times New Roman"/>
          <w:sz w:val="28"/>
          <w:szCs w:val="32"/>
          <w:highlight w:val="none"/>
          <w:lang w:val="en-US" w:eastAsia="zh-CN" w:bidi="ar-SA"/>
        </w:rPr>
        <w:t>三甲镇、米山镇等6</w:t>
      </w:r>
      <w:r>
        <w:rPr>
          <w:rFonts w:hint="default" w:ascii="Times New Roman" w:hAnsi="Times New Roman" w:eastAsia="仿宋" w:cs="Times New Roman"/>
          <w:sz w:val="28"/>
          <w:szCs w:val="32"/>
          <w:highlight w:val="none"/>
          <w:lang w:val="en-US" w:eastAsia="zh-CN" w:bidi="ar-SA"/>
        </w:rPr>
        <w:t>个乡（镇）</w:t>
      </w:r>
      <w:r>
        <w:rPr>
          <w:rFonts w:hint="eastAsia" w:ascii="Times New Roman" w:hAnsi="Times New Roman" w:eastAsia="仿宋" w:cs="Times New Roman"/>
          <w:sz w:val="28"/>
          <w:szCs w:val="32"/>
          <w:highlight w:val="none"/>
          <w:lang w:val="en-US" w:eastAsia="zh-CN" w:bidi="ar-SA"/>
        </w:rPr>
        <w:t>底池村、北李村等13个</w:t>
      </w:r>
      <w:r>
        <w:rPr>
          <w:rFonts w:hint="default" w:ascii="Times New Roman" w:hAnsi="Times New Roman" w:eastAsia="仿宋" w:cs="Times New Roman"/>
          <w:sz w:val="28"/>
          <w:szCs w:val="32"/>
          <w:highlight w:val="none"/>
          <w:lang w:val="en-US" w:eastAsia="zh-CN" w:bidi="ar-SA"/>
        </w:rPr>
        <w:t>村。本方案所有土地权属无争议，界限清晰。</w:t>
      </w:r>
      <w:r>
        <w:rPr>
          <w:rFonts w:hint="default" w:ascii="Times New Roman" w:hAnsi="Times New Roman" w:eastAsia="仿宋" w:cs="Times New Roman"/>
          <w:sz w:val="28"/>
          <w:szCs w:val="32"/>
          <w:highlight w:val="none"/>
          <w:lang w:bidi="ar-SA"/>
        </w:rPr>
        <w:t>见</w:t>
      </w:r>
      <w:r>
        <w:rPr>
          <w:rFonts w:hint="eastAsia" w:ascii="Times New Roman" w:hAnsi="Times New Roman" w:eastAsia="仿宋" w:cs="Times New Roman"/>
          <w:sz w:val="28"/>
          <w:szCs w:val="32"/>
          <w:highlight w:val="none"/>
          <w:lang w:val="en-US" w:eastAsia="zh-CN" w:bidi="ar-SA"/>
        </w:rPr>
        <w:t>下</w:t>
      </w:r>
      <w:r>
        <w:rPr>
          <w:rFonts w:hint="default" w:ascii="Times New Roman" w:hAnsi="Times New Roman" w:eastAsia="仿宋" w:cs="Times New Roman"/>
          <w:sz w:val="28"/>
          <w:szCs w:val="32"/>
          <w:highlight w:val="none"/>
          <w:lang w:bidi="ar-SA"/>
        </w:rPr>
        <w:t>表</w:t>
      </w:r>
      <w:r>
        <w:rPr>
          <w:rFonts w:hint="eastAsia" w:ascii="Times New Roman" w:hAnsi="Times New Roman" w:eastAsia="仿宋" w:cs="Times New Roman"/>
          <w:sz w:val="28"/>
          <w:szCs w:val="32"/>
          <w:highlight w:val="none"/>
          <w:lang w:val="en-US" w:eastAsia="zh-CN" w:bidi="ar-SA"/>
        </w:rPr>
        <w:t>2-5</w:t>
      </w:r>
      <w:r>
        <w:rPr>
          <w:rFonts w:hint="default" w:ascii="Times New Roman" w:hAnsi="Times New Roman" w:eastAsia="仿宋" w:cs="Times New Roman"/>
          <w:sz w:val="28"/>
          <w:szCs w:val="32"/>
          <w:highlight w:val="none"/>
          <w:lang w:bidi="ar-SA"/>
        </w:rPr>
        <w:t>。</w:t>
      </w:r>
    </w:p>
    <w:p w14:paraId="7A895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表2-5 项目用地土地权属统计表</w:t>
      </w:r>
    </w:p>
    <w:p w14:paraId="71F1EB4C">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820"/>
        <w:gridCol w:w="1121"/>
        <w:gridCol w:w="1344"/>
        <w:gridCol w:w="1177"/>
        <w:gridCol w:w="675"/>
        <w:gridCol w:w="953"/>
        <w:gridCol w:w="1121"/>
      </w:tblGrid>
      <w:tr w14:paraId="0570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230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序号</w:t>
            </w:r>
          </w:p>
        </w:tc>
        <w:tc>
          <w:tcPr>
            <w:tcW w:w="10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346F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E04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7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7AE1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乡镇</w:t>
            </w:r>
          </w:p>
        </w:tc>
        <w:tc>
          <w:tcPr>
            <w:tcW w:w="6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6A5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行政村</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5E0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国有</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FD00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集体</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77B3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4F5A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restart"/>
            <w:tcBorders>
              <w:top w:val="nil"/>
              <w:left w:val="single" w:color="000000" w:sz="8" w:space="0"/>
              <w:right w:val="single" w:color="000000" w:sz="8" w:space="0"/>
            </w:tcBorders>
            <w:shd w:val="clear" w:color="auto" w:fill="auto"/>
            <w:noWrap/>
            <w:vAlign w:val="center"/>
          </w:tcPr>
          <w:p w14:paraId="10FA502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028" w:type="pct"/>
            <w:vMerge w:val="restart"/>
            <w:tcBorders>
              <w:top w:val="nil"/>
              <w:left w:val="single" w:color="000000" w:sz="8" w:space="0"/>
              <w:right w:val="single" w:color="000000" w:sz="8" w:space="0"/>
            </w:tcBorders>
            <w:shd w:val="clear" w:color="auto" w:fill="auto"/>
            <w:noWrap/>
            <w:vAlign w:val="center"/>
          </w:tcPr>
          <w:p w14:paraId="01D154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633" w:type="pct"/>
            <w:vMerge w:val="restart"/>
            <w:tcBorders>
              <w:top w:val="nil"/>
              <w:left w:val="single" w:color="000000" w:sz="8" w:space="0"/>
              <w:right w:val="single" w:color="000000" w:sz="8" w:space="0"/>
            </w:tcBorders>
            <w:shd w:val="clear" w:color="auto" w:fill="auto"/>
            <w:noWrap/>
            <w:vAlign w:val="center"/>
          </w:tcPr>
          <w:p w14:paraId="48C140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59" w:type="pct"/>
            <w:vMerge w:val="restart"/>
            <w:tcBorders>
              <w:top w:val="nil"/>
              <w:left w:val="single" w:color="000000" w:sz="8" w:space="0"/>
              <w:right w:val="single" w:color="000000" w:sz="8" w:space="0"/>
            </w:tcBorders>
            <w:shd w:val="clear" w:color="auto" w:fill="auto"/>
            <w:noWrap/>
            <w:vAlign w:val="center"/>
          </w:tcPr>
          <w:p w14:paraId="067E08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C6AE71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底池村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F9AE8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E44F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B8986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r>
      <w:tr w14:paraId="2913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continue"/>
            <w:tcBorders>
              <w:left w:val="single" w:color="000000" w:sz="8" w:space="0"/>
              <w:right w:val="single" w:color="000000" w:sz="8" w:space="0"/>
            </w:tcBorders>
            <w:shd w:val="clear" w:color="auto" w:fill="auto"/>
            <w:noWrap/>
            <w:vAlign w:val="center"/>
          </w:tcPr>
          <w:p w14:paraId="2E3072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right w:val="single" w:color="000000" w:sz="8" w:space="0"/>
            </w:tcBorders>
            <w:shd w:val="clear" w:color="auto" w:fill="auto"/>
            <w:noWrap/>
            <w:vAlign w:val="center"/>
          </w:tcPr>
          <w:p w14:paraId="2B2C71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348D9D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4FE497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9BB6A8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北李村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7F9EB7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549329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8B46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r>
      <w:tr w14:paraId="00F6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right w:val="single" w:color="000000" w:sz="8" w:space="0"/>
            </w:tcBorders>
            <w:shd w:val="clear" w:color="auto" w:fill="auto"/>
            <w:noWrap/>
            <w:vAlign w:val="center"/>
          </w:tcPr>
          <w:p w14:paraId="1EB4A8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bottom w:val="single" w:color="000000" w:sz="8" w:space="0"/>
              <w:right w:val="single" w:color="000000" w:sz="8" w:space="0"/>
            </w:tcBorders>
            <w:shd w:val="clear" w:color="auto" w:fill="auto"/>
            <w:noWrap/>
            <w:vAlign w:val="center"/>
          </w:tcPr>
          <w:p w14:paraId="576C08D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2AD80F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55D86C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3A02B3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朱家山村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33BF8B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1F553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5E71A0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r>
      <w:tr w14:paraId="0799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9B7F7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0741608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26EB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3F8B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51246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r>
      <w:tr w14:paraId="15C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499AEE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028" w:type="pct"/>
            <w:vMerge w:val="restart"/>
            <w:tcBorders>
              <w:top w:val="nil"/>
              <w:left w:val="nil"/>
              <w:right w:val="single" w:color="000000" w:sz="8" w:space="0"/>
            </w:tcBorders>
            <w:shd w:val="clear" w:color="auto" w:fill="auto"/>
            <w:vAlign w:val="center"/>
          </w:tcPr>
          <w:p w14:paraId="6C254A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633" w:type="pct"/>
            <w:vMerge w:val="restart"/>
            <w:tcBorders>
              <w:top w:val="nil"/>
              <w:left w:val="single" w:color="000000" w:sz="8" w:space="0"/>
              <w:right w:val="single" w:color="000000" w:sz="8" w:space="0"/>
            </w:tcBorders>
            <w:shd w:val="clear" w:color="auto" w:fill="auto"/>
            <w:noWrap/>
            <w:vAlign w:val="center"/>
          </w:tcPr>
          <w:p w14:paraId="5D0778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59" w:type="pct"/>
            <w:vMerge w:val="restart"/>
            <w:tcBorders>
              <w:top w:val="nil"/>
              <w:left w:val="single" w:color="000000" w:sz="8" w:space="0"/>
              <w:right w:val="single" w:color="000000" w:sz="8" w:space="0"/>
            </w:tcBorders>
            <w:shd w:val="clear" w:color="auto" w:fill="auto"/>
            <w:noWrap/>
            <w:vAlign w:val="center"/>
          </w:tcPr>
          <w:p w14:paraId="0C4B67E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A24B1E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南坡村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D6A303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04EE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C10D8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r>
      <w:tr w14:paraId="7EA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2" w:type="pct"/>
            <w:vMerge w:val="continue"/>
            <w:tcBorders>
              <w:left w:val="single" w:color="000000" w:sz="8" w:space="0"/>
              <w:right w:val="single" w:color="000000" w:sz="8" w:space="0"/>
            </w:tcBorders>
            <w:shd w:val="clear" w:color="auto" w:fill="auto"/>
            <w:noWrap/>
            <w:vAlign w:val="center"/>
          </w:tcPr>
          <w:p w14:paraId="7DF1B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44C69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629C9A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5828B4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BE9971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E3A5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458585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CB11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r>
      <w:tr w14:paraId="5C85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4E77B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766846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7F41E6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5DB24FA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DFD7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4B8FF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5B341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4B400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r>
      <w:tr w14:paraId="56D9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7AFC08B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4B2588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restart"/>
            <w:tcBorders>
              <w:top w:val="nil"/>
              <w:left w:val="single" w:color="000000" w:sz="8" w:space="0"/>
              <w:right w:val="single" w:color="000000" w:sz="8" w:space="0"/>
            </w:tcBorders>
            <w:shd w:val="clear" w:color="auto" w:fill="auto"/>
            <w:noWrap/>
            <w:vAlign w:val="center"/>
          </w:tcPr>
          <w:p w14:paraId="58B0B9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609997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陈区镇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A401B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85081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89252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D8B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r>
      <w:tr w14:paraId="5CC4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5B9D4D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F69E27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2EA967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restart"/>
            <w:tcBorders>
              <w:top w:val="nil"/>
              <w:left w:val="single" w:color="000000" w:sz="8" w:space="0"/>
              <w:right w:val="single" w:color="000000" w:sz="8" w:space="0"/>
            </w:tcBorders>
            <w:shd w:val="clear" w:color="auto" w:fill="auto"/>
            <w:noWrap/>
            <w:vAlign w:val="center"/>
          </w:tcPr>
          <w:p w14:paraId="745286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F519A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13BE2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CBA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3FCD6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r>
      <w:tr w14:paraId="1E96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4277ED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188FDAF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142E9E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0172EE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C628C8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AC58C1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D65DC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4AE5A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r>
      <w:tr w14:paraId="041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312198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4CB412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1E3F99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732374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E6FCC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7D1D0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179B1C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2AB03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r>
      <w:tr w14:paraId="5284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31779A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247828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EC9F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C49D8C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79447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r>
      <w:tr w14:paraId="6287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DE416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028" w:type="pct"/>
            <w:tcBorders>
              <w:top w:val="nil"/>
              <w:left w:val="nil"/>
              <w:bottom w:val="single" w:color="000000" w:sz="8" w:space="0"/>
              <w:right w:val="single" w:color="000000" w:sz="8" w:space="0"/>
            </w:tcBorders>
            <w:shd w:val="clear" w:color="auto" w:fill="auto"/>
            <w:vAlign w:val="center"/>
          </w:tcPr>
          <w:p w14:paraId="42E9B7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3656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6C7652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ACE8FB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B73525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BD6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B379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0E9B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2F127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277B23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A149D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060BF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6EF2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6C92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restart"/>
            <w:tcBorders>
              <w:top w:val="nil"/>
              <w:left w:val="single" w:color="000000" w:sz="8" w:space="0"/>
              <w:right w:val="single" w:color="000000" w:sz="8" w:space="0"/>
            </w:tcBorders>
            <w:shd w:val="clear" w:color="auto" w:fill="auto"/>
            <w:noWrap/>
            <w:vAlign w:val="center"/>
          </w:tcPr>
          <w:p w14:paraId="4E7A21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028" w:type="pct"/>
            <w:vMerge w:val="restart"/>
            <w:tcBorders>
              <w:top w:val="nil"/>
              <w:left w:val="nil"/>
              <w:right w:val="single" w:color="000000" w:sz="8" w:space="0"/>
            </w:tcBorders>
            <w:shd w:val="clear" w:color="auto" w:fill="auto"/>
            <w:vAlign w:val="center"/>
          </w:tcPr>
          <w:p w14:paraId="135ABC5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633" w:type="pct"/>
            <w:vMerge w:val="restart"/>
            <w:tcBorders>
              <w:top w:val="nil"/>
              <w:left w:val="single" w:color="000000" w:sz="8" w:space="0"/>
              <w:right w:val="single" w:color="000000" w:sz="8" w:space="0"/>
            </w:tcBorders>
            <w:shd w:val="clear" w:color="auto" w:fill="auto"/>
            <w:noWrap/>
            <w:vAlign w:val="center"/>
          </w:tcPr>
          <w:p w14:paraId="3DEE554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59" w:type="pct"/>
            <w:vMerge w:val="restart"/>
            <w:tcBorders>
              <w:top w:val="nil"/>
              <w:left w:val="single" w:color="000000" w:sz="8" w:space="0"/>
              <w:right w:val="single" w:color="000000" w:sz="8" w:space="0"/>
            </w:tcBorders>
            <w:shd w:val="clear" w:color="auto" w:fill="auto"/>
            <w:noWrap/>
            <w:vAlign w:val="center"/>
          </w:tcPr>
          <w:p w14:paraId="40A29AF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1FF1E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536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A8386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FC19E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r>
      <w:tr w14:paraId="720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03B764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66F8AD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43FF32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29FA304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5C001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官庄村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17F9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AE8A9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24FF83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r>
      <w:tr w14:paraId="5365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D19C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8930E9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000F7B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AECF0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243D2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r>
      <w:tr w14:paraId="27A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6154E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028" w:type="pct"/>
            <w:tcBorders>
              <w:top w:val="nil"/>
              <w:left w:val="nil"/>
              <w:bottom w:val="single" w:color="000000" w:sz="8" w:space="0"/>
              <w:right w:val="single" w:color="000000" w:sz="8" w:space="0"/>
            </w:tcBorders>
            <w:shd w:val="clear" w:color="auto" w:fill="auto"/>
            <w:vAlign w:val="center"/>
          </w:tcPr>
          <w:p w14:paraId="18B039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E62D64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F28FFE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E888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B400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C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90641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7556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148D9A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58A95F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10BE8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303AA6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6BF1C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2876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383388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028" w:type="pct"/>
            <w:tcBorders>
              <w:top w:val="nil"/>
              <w:left w:val="nil"/>
              <w:bottom w:val="single" w:color="000000" w:sz="8" w:space="0"/>
              <w:right w:val="single" w:color="000000" w:sz="8" w:space="0"/>
            </w:tcBorders>
            <w:shd w:val="clear" w:color="auto" w:fill="auto"/>
            <w:vAlign w:val="center"/>
          </w:tcPr>
          <w:p w14:paraId="3AD60C6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42655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3497D9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BAC693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758EE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7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7E2C7A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6540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93AC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107DED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5D2B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DBAF7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393ED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23D3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0599D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028" w:type="pct"/>
            <w:tcBorders>
              <w:top w:val="nil"/>
              <w:left w:val="nil"/>
              <w:bottom w:val="single" w:color="000000" w:sz="8" w:space="0"/>
              <w:right w:val="single" w:color="000000" w:sz="8" w:space="0"/>
            </w:tcBorders>
            <w:shd w:val="clear" w:color="auto" w:fill="auto"/>
            <w:vAlign w:val="center"/>
          </w:tcPr>
          <w:p w14:paraId="7A5B778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C7682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19E747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南城街道办</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5C1F2C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99A8D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9B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B8DEA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4B04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70D8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4D183E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53234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nil"/>
              <w:bottom w:val="nil"/>
              <w:right w:val="nil"/>
            </w:tcBorders>
            <w:shd w:val="clear" w:color="auto" w:fill="auto"/>
            <w:noWrap/>
            <w:vAlign w:val="center"/>
          </w:tcPr>
          <w:p w14:paraId="311903E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649A6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0317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16424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028" w:type="pct"/>
            <w:tcBorders>
              <w:top w:val="nil"/>
              <w:left w:val="nil"/>
              <w:bottom w:val="single" w:color="000000" w:sz="8" w:space="0"/>
              <w:right w:val="single" w:color="000000" w:sz="8" w:space="0"/>
            </w:tcBorders>
            <w:shd w:val="clear" w:color="auto" w:fill="auto"/>
            <w:vAlign w:val="center"/>
          </w:tcPr>
          <w:p w14:paraId="15EF98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FEE9D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5FA766C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96E625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FA47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2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6A44B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3593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7B0AE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EE678A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C0B5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7D86EA5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9A3DF8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4B40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47" w:type="pct"/>
            <w:gridSpan w:val="5"/>
            <w:tcBorders>
              <w:top w:val="nil"/>
              <w:left w:val="single" w:color="000000" w:sz="8" w:space="0"/>
              <w:bottom w:val="single" w:color="000000" w:sz="8" w:space="0"/>
              <w:right w:val="single" w:color="000000" w:sz="8" w:space="0"/>
            </w:tcBorders>
            <w:shd w:val="clear" w:color="auto" w:fill="auto"/>
            <w:noWrap/>
            <w:vAlign w:val="center"/>
          </w:tcPr>
          <w:p w14:paraId="54C4B04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29C286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0BCC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3C44DD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r>
    </w:tbl>
    <w:p w14:paraId="59C778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 w:cs="Times New Roman"/>
          <w:sz w:val="24"/>
          <w:szCs w:val="24"/>
          <w:highlight w:val="none"/>
          <w:lang w:val="en-US" w:eastAsia="zh-CN" w:bidi="ar-SA"/>
        </w:rPr>
      </w:pPr>
    </w:p>
    <w:p w14:paraId="37ACA3BF">
      <w:pPr>
        <w:pStyle w:val="3"/>
        <w:numPr>
          <w:ilvl w:val="1"/>
          <w:numId w:val="0"/>
        </w:numPr>
        <w:tabs>
          <w:tab w:val="clear" w:pos="420"/>
        </w:tabs>
        <w:bidi w:val="0"/>
        <w:rPr>
          <w:rFonts w:hint="default"/>
          <w:sz w:val="32"/>
          <w:szCs w:val="32"/>
          <w:lang w:val="en-US" w:eastAsia="zh-CN"/>
        </w:rPr>
      </w:pPr>
      <w:bookmarkStart w:id="18" w:name="_Toc8125"/>
      <w:bookmarkStart w:id="19" w:name="_Toc7429"/>
      <w:r>
        <w:rPr>
          <w:rFonts w:hint="eastAsia" w:ascii="Times New Roman" w:hAnsi="Times New Roman" w:eastAsia="仿宋" w:cs="Times New Roman"/>
          <w:b/>
          <w:bCs/>
          <w:kern w:val="2"/>
          <w:sz w:val="32"/>
          <w:szCs w:val="32"/>
          <w:lang w:val="en-US" w:eastAsia="zh-CN"/>
        </w:rPr>
        <w:t>2.5.</w:t>
      </w:r>
      <w:r>
        <w:rPr>
          <w:rFonts w:hint="default"/>
          <w:sz w:val="32"/>
          <w:szCs w:val="32"/>
          <w:lang w:val="en-US" w:eastAsia="zh-CN"/>
        </w:rPr>
        <w:t>基础设施条件</w:t>
      </w:r>
      <w:bookmarkEnd w:id="18"/>
      <w:bookmarkEnd w:id="19"/>
    </w:p>
    <w:p w14:paraId="2095F695">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2.5.1.</w:t>
      </w:r>
      <w:r>
        <w:rPr>
          <w:rFonts w:hint="default"/>
          <w:sz w:val="28"/>
          <w:szCs w:val="32"/>
          <w:lang w:val="en-US" w:eastAsia="zh-CN"/>
        </w:rPr>
        <w:t>交通设施</w:t>
      </w:r>
    </w:p>
    <w:p w14:paraId="002A29D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：片区东100米为二广高速，西400米为G208炎帝大道。</w:t>
      </w:r>
    </w:p>
    <w:p w14:paraId="2A4BD42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片区西侧紧邻S331坪曲线。</w:t>
      </w:r>
    </w:p>
    <w:p w14:paraId="58FAE4AC">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片区沿新建道路兴园东路划分，北至S331坪曲线，交通便利</w:t>
      </w:r>
      <w:r>
        <w:rPr>
          <w:rFonts w:hint="default" w:ascii="Times New Roman" w:hAnsi="Times New Roman" w:eastAsia="仿宋" w:cs="Times New Roman"/>
          <w:sz w:val="28"/>
          <w:szCs w:val="32"/>
          <w:lang w:val="en-US" w:eastAsia="zh-CN" w:bidi="ar-SA"/>
        </w:rPr>
        <w:t>。</w:t>
      </w:r>
    </w:p>
    <w:p w14:paraId="2E99A58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lang w:val="en-US" w:eastAsia="zh-CN" w:bidi="ar-SA"/>
        </w:rPr>
        <w:t>片区位于二淅线与城镇</w:t>
      </w:r>
      <w:bookmarkStart w:id="105" w:name="_GoBack"/>
      <w:bookmarkEnd w:id="105"/>
      <w:r>
        <w:rPr>
          <w:rFonts w:hint="eastAsia" w:ascii="Times New Roman" w:hAnsi="Times New Roman" w:eastAsia="仿宋" w:cs="Times New Roman"/>
          <w:sz w:val="28"/>
          <w:szCs w:val="32"/>
          <w:lang w:val="en-US" w:eastAsia="zh-CN" w:bidi="ar-SA"/>
        </w:rPr>
        <w:t>道路交叉口。</w:t>
      </w:r>
    </w:p>
    <w:p w14:paraId="4C20488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lang w:val="en-US" w:eastAsia="zh-CN" w:bidi="ar-SA"/>
        </w:rPr>
        <w:t>片区西侧紧邻龙司线。</w:t>
      </w:r>
    </w:p>
    <w:p w14:paraId="46CD0EB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片区东侧紧邻龙司线。</w:t>
      </w:r>
    </w:p>
    <w:p w14:paraId="630A5AC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片区西至S227省道。</w:t>
      </w:r>
    </w:p>
    <w:p w14:paraId="152EACC8">
      <w:pPr>
        <w:spacing w:line="240" w:lineRule="auto"/>
        <w:ind w:firstLine="640"/>
        <w:rPr>
          <w:rFonts w:hint="default"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片区西至兴宁路，南300米为S331。</w:t>
      </w:r>
    </w:p>
    <w:p w14:paraId="33252F31">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2.5.2.</w:t>
      </w:r>
      <w:r>
        <w:rPr>
          <w:rFonts w:hint="default"/>
          <w:sz w:val="28"/>
          <w:szCs w:val="32"/>
          <w:highlight w:val="none"/>
          <w:lang w:val="en-US" w:eastAsia="zh-CN"/>
        </w:rPr>
        <w:t>供排水条件</w:t>
      </w:r>
    </w:p>
    <w:p w14:paraId="3EF40958">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以张峰水库调蓄池及输水渠、城北地下水源地、川起地下水源地及各乡镇饮用水水源保护区为核心，市域水资源总量为9943万m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/年，可利用量为5501万m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/年，市域外可调配水量3860万m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/年，则可利用水资源总量为9361万m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w:t>
      </w:r>
    </w:p>
    <w:p w14:paraId="7E9B65C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三甲南片区境内供水水源引自张峰水库调蓄工程，排水体制为雨污分流制。</w:t>
      </w:r>
    </w:p>
    <w:p w14:paraId="2D606ED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7E917A1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33A0BF0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片区内供水水源引自张峰水库调蓄工程，排水体制为雨污分流制。</w:t>
      </w:r>
    </w:p>
    <w:p w14:paraId="4461EAB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供水由园区供水管网引入。排水按照雨污分流、污污分流原则，生活污水经过污水处理设施处理后可回用到工艺用水；工艺装置污水经过预处理达标后，排入有机废水收集管网；雨水就近排入园区雨水管。</w:t>
      </w:r>
    </w:p>
    <w:p w14:paraId="08FBC4F1">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片区内供水水源引自张峰水库调蓄工程，排水体制为</w:t>
      </w:r>
      <w:r>
        <w:rPr>
          <w:rFonts w:hint="eastAsia" w:ascii="Times New Roman" w:hAnsi="Times New Roman" w:eastAsia="仿宋" w:cs="Times New Roman"/>
          <w:sz w:val="28"/>
          <w:szCs w:val="32"/>
          <w:highlight w:val="none"/>
          <w:lang w:val="en-US" w:eastAsia="zh-CN" w:bidi="ar-SA"/>
        </w:rPr>
        <w:t>雨污分流制。</w:t>
      </w:r>
    </w:p>
    <w:p w14:paraId="34CE7EAA">
      <w:pPr>
        <w:pStyle w:val="4"/>
        <w:numPr>
          <w:ilvl w:val="2"/>
          <w:numId w:val="0"/>
        </w:numPr>
        <w:bidi w:val="0"/>
        <w:ind w:left="779" w:leftChars="47" w:hanging="680" w:hangingChars="242"/>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2.5.3.</w:t>
      </w:r>
      <w:r>
        <w:rPr>
          <w:rFonts w:hint="default"/>
          <w:sz w:val="28"/>
          <w:szCs w:val="32"/>
          <w:highlight w:val="none"/>
          <w:lang w:val="en-US" w:eastAsia="zh-CN"/>
        </w:rPr>
        <w:t>供电条件</w:t>
      </w:r>
    </w:p>
    <w:p w14:paraId="4F451F21">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高平市现已形成以 110 千伏为主供电源，以 35 千伏为骨干网架，以 10 千伏均匀辐射的趋于科学的供电网络，北连长治环网，南至晋城48环网，成为晋东南电网的重要组成部分。规划提高高平市供电可靠性和供电质量，建设</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结构完善、技术领先、高效互动、灵活可靠</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的现代化智能电网。实现中心城区供电可靠率达到 99.99%、县域供电可靠率达到99.99%。</w:t>
      </w:r>
    </w:p>
    <w:p w14:paraId="466D54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片区电源引自电源由园区供电管网接入。</w:t>
      </w:r>
    </w:p>
    <w:p w14:paraId="0B0BAE3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片区电源由园区供电管网接入。</w:t>
      </w:r>
    </w:p>
    <w:p w14:paraId="26E672C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片区电源由园区供电管网接入。</w:t>
      </w:r>
    </w:p>
    <w:p w14:paraId="37BCE5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片区电源由园区供电管网接入。</w:t>
      </w:r>
    </w:p>
    <w:p w14:paraId="32C14BF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片区电源引自电源由园区供电管网接入。</w:t>
      </w:r>
    </w:p>
    <w:p w14:paraId="194F98BF">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5B19043F">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4</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供热条件</w:t>
      </w:r>
    </w:p>
    <w:p w14:paraId="22BAA3F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28"/>
          <w:highlight w:val="none"/>
          <w:lang w:val="en-US" w:eastAsia="zh-CN" w:bidi="ar-SA"/>
        </w:rPr>
        <w:t>片区供暖拟由高平市集中供热中心管网接入，接至片区新建换热站，供给各用热单元。</w:t>
      </w:r>
    </w:p>
    <w:p w14:paraId="1D7EC36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片区供热由园区供热管网接入。</w:t>
      </w:r>
    </w:p>
    <w:p w14:paraId="295E2D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片区供热由园区供热管网接入。</w:t>
      </w:r>
    </w:p>
    <w:p w14:paraId="0D3C272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片区供暖拟由高平市集中供热中心管网接入，接至片区新建换热站，供给各用热单元。</w:t>
      </w:r>
    </w:p>
    <w:p w14:paraId="451B2C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供暖拟由高平市集中供热中心管网接入，接至片区新建换热站，供给各用热单元。</w:t>
      </w:r>
    </w:p>
    <w:p w14:paraId="2E8D24F0">
      <w:pPr>
        <w:spacing w:line="240" w:lineRule="auto"/>
        <w:ind w:firstLine="640"/>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404BF087">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5</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供气条件</w:t>
      </w:r>
    </w:p>
    <w:p w14:paraId="1729AF3F">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采用以天然气为主，液化气为辅的供气方式。采用双气源供气方式，包括现状晋城—长治煤层气输气管道和过境的临汾—长治长输管线。将晋城—长治煤层气输气管道高平分输阀室改扩建为门站，向市域东部镇区供气，各镇区新建调压站，用气量大的工业用户，宜采用工业专用线供气。城乡生活及公建用户采用天然气中压供气，保留现状2座天然气门站，规划新建一座天然气门站，米山镇设置液化石油气分输站。</w:t>
      </w:r>
    </w:p>
    <w:p w14:paraId="5EAF418B">
      <w:pPr>
        <w:spacing w:line="240" w:lineRule="auto"/>
        <w:ind w:firstLine="640"/>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bidi="ar-SA"/>
        </w:rPr>
        <w:t>建设城市及主要乡镇一体的天然气管网系统，城乡生活及公建用户采用天然气中压供气，管网沿城市及村镇主要道路修建，新建管道采用直埋敷设形式</w:t>
      </w:r>
      <w:r>
        <w:rPr>
          <w:rFonts w:hint="eastAsia" w:ascii="Times New Roman" w:hAnsi="Times New Roman" w:eastAsia="仿宋" w:cs="Times New Roman"/>
          <w:sz w:val="28"/>
          <w:szCs w:val="28"/>
          <w:highlight w:val="none"/>
          <w:lang w:eastAsia="zh-CN" w:bidi="ar-SA"/>
        </w:rPr>
        <w:t>。</w:t>
      </w:r>
    </w:p>
    <w:p w14:paraId="5BC209A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b/>
          <w:bCs/>
          <w:sz w:val="28"/>
          <w:szCs w:val="32"/>
          <w:highlight w:val="none"/>
          <w:lang w:val="en-US" w:eastAsia="zh-CN" w:bidi="ar-SA"/>
        </w:rPr>
        <w:t>米山北工业片区、米山道路片区、高铁新区A片区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苏庄商业片区、许庄物流片区、建宁商业片区：</w:t>
      </w:r>
      <w:r>
        <w:rPr>
          <w:rFonts w:hint="default" w:ascii="Times New Roman" w:hAnsi="Times New Roman" w:eastAsia="仿宋" w:cs="Times New Roman"/>
          <w:sz w:val="28"/>
          <w:szCs w:val="32"/>
          <w:highlight w:val="none"/>
          <w:lang w:val="en-US" w:eastAsia="zh-CN" w:bidi="ar-SA"/>
        </w:rPr>
        <w:t>规划以中低压二级管网供气方式为主。规划设置1座门站、2座储配站，分别为：高平门站、城北储配站、城西南储配站。</w:t>
      </w:r>
    </w:p>
    <w:p w14:paraId="11D6F83D">
      <w:pPr>
        <w:spacing w:line="240" w:lineRule="auto"/>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br w:type="page"/>
      </w:r>
    </w:p>
    <w:p w14:paraId="25C53F9A">
      <w:pPr>
        <w:pStyle w:val="2"/>
        <w:numPr>
          <w:ilvl w:val="0"/>
          <w:numId w:val="0"/>
        </w:numPr>
        <w:bidi w:val="0"/>
        <w:ind w:left="432" w:leftChars="0" w:hanging="432" w:firstLineChars="0"/>
        <w:jc w:val="both"/>
        <w:rPr>
          <w:rFonts w:hint="default"/>
          <w:sz w:val="40"/>
          <w:szCs w:val="40"/>
        </w:rPr>
      </w:pPr>
      <w:bookmarkStart w:id="20" w:name="_Toc23542"/>
      <w:r>
        <w:rPr>
          <w:rFonts w:hint="default" w:ascii="Times New Roman" w:hAnsi="Times New Roman" w:eastAsia="仿宋" w:cs="Times New Roman"/>
          <w:b/>
          <w:bCs/>
          <w:kern w:val="44"/>
          <w:sz w:val="40"/>
          <w:szCs w:val="40"/>
          <w:lang w:val="en-US" w:eastAsia="zh-CN"/>
        </w:rPr>
        <w:t>3.</w:t>
      </w:r>
      <w:r>
        <w:rPr>
          <w:rFonts w:hint="default"/>
          <w:sz w:val="40"/>
          <w:szCs w:val="40"/>
        </w:rPr>
        <w:t>方案的</w:t>
      </w:r>
      <w:r>
        <w:rPr>
          <w:rFonts w:hint="eastAsia"/>
          <w:sz w:val="40"/>
          <w:szCs w:val="40"/>
          <w:lang w:val="en-US" w:eastAsia="zh-CN"/>
        </w:rPr>
        <w:t>必要性</w:t>
      </w:r>
      <w:bookmarkEnd w:id="20"/>
    </w:p>
    <w:p w14:paraId="2FB97E7F">
      <w:pPr>
        <w:pStyle w:val="3"/>
        <w:numPr>
          <w:ilvl w:val="1"/>
          <w:numId w:val="0"/>
        </w:numPr>
        <w:tabs>
          <w:tab w:val="clear" w:pos="420"/>
        </w:tabs>
        <w:bidi w:val="0"/>
        <w:ind w:left="575" w:leftChars="0" w:hanging="575" w:firstLineChars="0"/>
        <w:rPr>
          <w:rFonts w:hint="default"/>
          <w:sz w:val="32"/>
          <w:szCs w:val="32"/>
        </w:rPr>
      </w:pPr>
      <w:bookmarkStart w:id="21" w:name="_Toc23862"/>
      <w:r>
        <w:rPr>
          <w:rFonts w:hint="eastAsia" w:ascii="Times New Roman" w:hAnsi="Times New Roman" w:eastAsia="仿宋" w:cs="Times New Roman"/>
          <w:b/>
          <w:bCs/>
          <w:kern w:val="2"/>
          <w:sz w:val="32"/>
          <w:szCs w:val="32"/>
          <w:lang w:val="en-US" w:eastAsia="zh-CN"/>
        </w:rPr>
        <w:t>3.1.</w:t>
      </w:r>
      <w:r>
        <w:rPr>
          <w:rFonts w:hint="default"/>
          <w:sz w:val="32"/>
          <w:szCs w:val="32"/>
        </w:rPr>
        <w:t>进一步优化空间布局、促进国土空间规划的实施</w:t>
      </w:r>
      <w:bookmarkEnd w:id="21"/>
    </w:p>
    <w:p w14:paraId="686A622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sz w:val="28"/>
          <w:szCs w:val="32"/>
          <w:lang w:eastAsia="zh-CN" w:bidi="ar-SA"/>
        </w:rPr>
        <w:t>结合国土空间规划和中心城区各片区控制性详细规划，编制土地征收成片方案并实施，</w:t>
      </w:r>
      <w:r>
        <w:rPr>
          <w:rFonts w:hint="default" w:ascii="Times New Roman" w:hAnsi="Times New Roman" w:eastAsia="仿宋" w:cs="Times New Roman"/>
          <w:sz w:val="28"/>
          <w:szCs w:val="32"/>
          <w:lang w:val="en-US" w:eastAsia="zh-CN" w:bidi="ar-SA"/>
        </w:rPr>
        <w:t>以</w:t>
      </w:r>
      <w:r>
        <w:rPr>
          <w:rFonts w:hint="eastAsia" w:ascii="Times New Roman" w:hAnsi="Times New Roman" w:eastAsia="仿宋" w:cs="Times New Roman"/>
          <w:sz w:val="28"/>
          <w:szCs w:val="32"/>
          <w:lang w:val="en-US" w:eastAsia="zh-CN" w:bidi="ar-SA"/>
        </w:rPr>
        <w:t>建设</w:t>
      </w:r>
      <w:r>
        <w:rPr>
          <w:rFonts w:hint="default" w:ascii="Times New Roman" w:hAnsi="Times New Roman" w:eastAsia="仿宋" w:cs="Times New Roman"/>
          <w:sz w:val="28"/>
          <w:szCs w:val="32"/>
          <w:lang w:val="en-US" w:eastAsia="zh-CN" w:bidi="ar-SA"/>
        </w:rPr>
        <w:t>华夏文明特色魅力古城，资源型产业转型升级与新兴产业发展基地，宜居宜业的现代旅游休闲城市</w:t>
      </w:r>
      <w:r>
        <w:rPr>
          <w:rFonts w:hint="eastAsia" w:ascii="Times New Roman" w:hAnsi="Times New Roman" w:eastAsia="仿宋" w:cs="Times New Roman"/>
          <w:sz w:val="28"/>
          <w:szCs w:val="32"/>
          <w:lang w:val="en-US" w:eastAsia="zh-CN" w:bidi="ar-SA"/>
        </w:rPr>
        <w:t>为目标。</w:t>
      </w:r>
    </w:p>
    <w:p w14:paraId="52D49812">
      <w:pPr>
        <w:spacing w:line="240" w:lineRule="auto"/>
        <w:ind w:firstLine="640"/>
        <w:rPr>
          <w:rFonts w:hint="default" w:ascii="Times New Roman" w:hAnsi="Times New Roman" w:eastAsia="仿宋" w:cs="Times New Roman"/>
          <w:color w:val="0000FF"/>
          <w:sz w:val="28"/>
          <w:szCs w:val="32"/>
          <w:lang w:val="en-US" w:eastAsia="zh-CN" w:bidi="ar-SA"/>
        </w:rPr>
      </w:pPr>
      <w:r>
        <w:rPr>
          <w:rFonts w:hint="default" w:ascii="Times New Roman" w:hAnsi="Times New Roman" w:eastAsia="仿宋" w:cs="Times New Roman"/>
          <w:color w:val="auto"/>
          <w:sz w:val="28"/>
          <w:szCs w:val="32"/>
          <w:lang w:val="en-US" w:eastAsia="zh-CN" w:bidi="ar-SA"/>
        </w:rPr>
        <w:t>按照“六新”要求，深入挖掘文化内涵，讲好“历史故事”，持续叫响叫亮“神农炎帝故里、长平之战发生地、上党梆子之乡、中国古建博物馆”四张文化名片。推进工业和信息化高质量转型发展。充分发挥资源型产业的优势，并加快产业升级与转型，大力发展接续产业，推动装备制造、新材料等新兴制造业的发展。全面推进乡村振兴，打造宜居宜业宜游的美丽高平。发展有机旱作农业，培育果品、小杂粮、蔬菜等农产品特色基地。在大健康、大康养、大文旅深度融合、竞相发展的格局下，着力打造富有高平特色的康养事业、康养产业，以康养助推高质量发展、人民高品质生活</w:t>
      </w:r>
      <w:r>
        <w:rPr>
          <w:rFonts w:hint="eastAsia" w:ascii="Times New Roman" w:hAnsi="Times New Roman" w:eastAsia="仿宋" w:cs="Times New Roman"/>
          <w:color w:val="auto"/>
          <w:sz w:val="28"/>
          <w:szCs w:val="32"/>
          <w:lang w:val="en-US" w:eastAsia="zh-CN" w:bidi="ar-SA"/>
        </w:rPr>
        <w:t>。</w:t>
      </w:r>
    </w:p>
    <w:p w14:paraId="7851A7AA">
      <w:pPr>
        <w:pStyle w:val="3"/>
        <w:numPr>
          <w:ilvl w:val="1"/>
          <w:numId w:val="0"/>
        </w:numPr>
        <w:tabs>
          <w:tab w:val="clear" w:pos="420"/>
        </w:tabs>
        <w:bidi w:val="0"/>
        <w:ind w:left="575" w:leftChars="0" w:hanging="575" w:firstLineChars="0"/>
        <w:rPr>
          <w:rFonts w:hint="default"/>
          <w:sz w:val="32"/>
          <w:szCs w:val="32"/>
        </w:rPr>
      </w:pPr>
      <w:bookmarkStart w:id="22" w:name="_Toc23787"/>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2</w:t>
      </w:r>
      <w:r>
        <w:rPr>
          <w:rFonts w:hint="eastAsia" w:ascii="Times New Roman" w:hAnsi="Times New Roman" w:eastAsia="仿宋" w:cs="Times New Roman"/>
          <w:b/>
          <w:bCs/>
          <w:kern w:val="2"/>
          <w:sz w:val="32"/>
          <w:szCs w:val="32"/>
          <w:lang w:val="en-US" w:eastAsia="zh-CN"/>
        </w:rPr>
        <w:t>.</w:t>
      </w:r>
      <w:r>
        <w:rPr>
          <w:rFonts w:hint="default"/>
          <w:sz w:val="32"/>
          <w:szCs w:val="32"/>
        </w:rPr>
        <w:t>切实保护耕地，集约节约利用土地</w:t>
      </w:r>
      <w:bookmarkEnd w:id="22"/>
    </w:p>
    <w:p w14:paraId="42FB34D5">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成片开发范围明确要求必须在国土空间规划确定的城镇</w:t>
      </w:r>
      <w:r>
        <w:rPr>
          <w:rFonts w:hint="eastAsia" w:ascii="Times New Roman" w:hAnsi="Times New Roman" w:eastAsia="仿宋" w:cs="Times New Roman"/>
          <w:sz w:val="28"/>
          <w:szCs w:val="32"/>
          <w:lang w:val="en-US" w:eastAsia="zh-CN" w:bidi="ar-SA"/>
        </w:rPr>
        <w:t>建设用地范围内</w:t>
      </w:r>
      <w:r>
        <w:rPr>
          <w:rFonts w:hint="default" w:ascii="Times New Roman" w:hAnsi="Times New Roman" w:eastAsia="仿宋" w:cs="Times New Roman"/>
          <w:sz w:val="28"/>
          <w:szCs w:val="32"/>
          <w:lang w:eastAsia="zh-CN" w:bidi="ar-SA"/>
        </w:rPr>
        <w:t>，禁止占用永久基本农田，</w:t>
      </w:r>
      <w:r>
        <w:rPr>
          <w:rFonts w:hint="eastAsia" w:ascii="Times New Roman" w:hAnsi="Times New Roman" w:eastAsia="仿宋" w:cs="Times New Roman"/>
          <w:sz w:val="28"/>
          <w:szCs w:val="32"/>
          <w:lang w:val="en-US" w:eastAsia="zh-CN" w:bidi="ar-SA"/>
        </w:rPr>
        <w:t>可以</w:t>
      </w:r>
      <w:r>
        <w:rPr>
          <w:rFonts w:hint="default" w:ascii="Times New Roman" w:hAnsi="Times New Roman" w:eastAsia="仿宋" w:cs="Times New Roman"/>
          <w:sz w:val="28"/>
          <w:szCs w:val="32"/>
          <w:lang w:eastAsia="zh-CN" w:bidi="ar-SA"/>
        </w:rPr>
        <w:t>有效</w:t>
      </w:r>
      <w:r>
        <w:rPr>
          <w:rFonts w:hint="eastAsia" w:ascii="Times New Roman" w:hAnsi="Times New Roman" w:eastAsia="仿宋" w:cs="Times New Roman"/>
          <w:sz w:val="28"/>
          <w:szCs w:val="32"/>
          <w:lang w:val="en-US" w:eastAsia="zh-CN" w:bidi="ar-SA"/>
        </w:rPr>
        <w:t>减少</w:t>
      </w:r>
      <w:r>
        <w:rPr>
          <w:rFonts w:hint="default" w:ascii="Times New Roman" w:hAnsi="Times New Roman" w:eastAsia="仿宋" w:cs="Times New Roman"/>
          <w:sz w:val="28"/>
          <w:szCs w:val="32"/>
          <w:lang w:eastAsia="zh-CN" w:bidi="ar-SA"/>
        </w:rPr>
        <w:t>建设</w:t>
      </w:r>
      <w:r>
        <w:rPr>
          <w:rFonts w:hint="eastAsia" w:ascii="Times New Roman" w:hAnsi="Times New Roman" w:eastAsia="仿宋" w:cs="Times New Roman"/>
          <w:sz w:val="28"/>
          <w:szCs w:val="32"/>
          <w:lang w:val="en-US" w:eastAsia="zh-CN" w:bidi="ar-SA"/>
        </w:rPr>
        <w:t>用地</w:t>
      </w:r>
      <w:r>
        <w:rPr>
          <w:rFonts w:hint="default" w:ascii="Times New Roman" w:hAnsi="Times New Roman" w:eastAsia="仿宋" w:cs="Times New Roman"/>
          <w:sz w:val="28"/>
          <w:szCs w:val="32"/>
          <w:lang w:eastAsia="zh-CN" w:bidi="ar-SA"/>
        </w:rPr>
        <w:t>对耕地的占用。同时成片开发可以在空间上连续，充分发挥城市的集聚效应，可使资金、产业进一步聚集，进一步明确实现的功能、拟安排的建设项目、开发时序和年度实施计划等，为建设项目更快落地创造条件，为合法合规批地供地提供依据，实现土地综合利用和高效利用。</w:t>
      </w:r>
    </w:p>
    <w:p w14:paraId="2F9FE0EA">
      <w:pPr>
        <w:pStyle w:val="3"/>
        <w:numPr>
          <w:ilvl w:val="1"/>
          <w:numId w:val="0"/>
        </w:numPr>
        <w:tabs>
          <w:tab w:val="clear" w:pos="420"/>
        </w:tabs>
        <w:bidi w:val="0"/>
        <w:ind w:left="575" w:leftChars="0" w:hanging="575" w:firstLineChars="0"/>
        <w:rPr>
          <w:rFonts w:hint="default"/>
          <w:sz w:val="32"/>
          <w:szCs w:val="32"/>
          <w:lang w:val="en-US" w:eastAsia="zh-CN"/>
        </w:rPr>
      </w:pPr>
      <w:bookmarkStart w:id="23" w:name="_Toc23133"/>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default"/>
          <w:sz w:val="32"/>
          <w:szCs w:val="32"/>
          <w:lang w:val="en-US" w:eastAsia="zh-CN"/>
        </w:rPr>
        <w:t>优化产业结构</w:t>
      </w:r>
      <w:r>
        <w:rPr>
          <w:rFonts w:hint="eastAsia"/>
          <w:sz w:val="32"/>
          <w:szCs w:val="32"/>
          <w:lang w:val="en-US" w:eastAsia="zh-CN"/>
        </w:rPr>
        <w:t>，推动</w:t>
      </w:r>
      <w:r>
        <w:rPr>
          <w:rFonts w:hint="default"/>
          <w:sz w:val="32"/>
          <w:szCs w:val="32"/>
          <w:lang w:val="en-US" w:eastAsia="zh-CN"/>
        </w:rPr>
        <w:t>项目建设</w:t>
      </w:r>
      <w:r>
        <w:rPr>
          <w:rFonts w:hint="eastAsia"/>
          <w:sz w:val="32"/>
          <w:szCs w:val="32"/>
          <w:lang w:val="en-US" w:eastAsia="zh-CN"/>
        </w:rPr>
        <w:t>落地</w:t>
      </w:r>
      <w:bookmarkEnd w:id="23"/>
    </w:p>
    <w:p w14:paraId="117FF989">
      <w:pPr>
        <w:spacing w:line="240" w:lineRule="auto"/>
        <w:ind w:firstLine="640"/>
        <w:rPr>
          <w:rFonts w:hint="default" w:ascii="Times New Roman" w:hAnsi="Times New Roman" w:eastAsia="仿宋" w:cs="Times New Roman"/>
          <w:sz w:val="28"/>
          <w:szCs w:val="32"/>
          <w:lang w:val="en-US" w:eastAsia="zh-CN" w:bidi="ar-SA"/>
        </w:rPr>
      </w:pPr>
      <w:bookmarkStart w:id="24" w:name="_Toc10720"/>
      <w:bookmarkStart w:id="25" w:name="_Toc28136"/>
      <w:bookmarkStart w:id="26" w:name="_Toc1077"/>
      <w:bookmarkStart w:id="27" w:name="_Toc20915"/>
      <w:bookmarkStart w:id="28" w:name="_Toc4929"/>
      <w:r>
        <w:rPr>
          <w:rFonts w:hint="default" w:ascii="Times New Roman" w:hAnsi="Times New Roman" w:eastAsia="仿宋" w:cs="Times New Roman"/>
          <w:sz w:val="28"/>
          <w:szCs w:val="32"/>
          <w:lang w:eastAsia="zh-CN" w:bidi="ar-SA"/>
        </w:rPr>
        <w:t>综合考虑基础设施、</w:t>
      </w:r>
      <w:r>
        <w:rPr>
          <w:rFonts w:hint="eastAsia" w:ascii="Times New Roman" w:hAnsi="Times New Roman" w:eastAsia="仿宋" w:cs="Times New Roman"/>
          <w:sz w:val="28"/>
          <w:szCs w:val="32"/>
          <w:lang w:val="en-US" w:eastAsia="zh-CN" w:bidi="ar-SA"/>
        </w:rPr>
        <w:t>工业用地、</w:t>
      </w:r>
      <w:r>
        <w:rPr>
          <w:rFonts w:hint="default" w:ascii="Times New Roman" w:hAnsi="Times New Roman" w:eastAsia="仿宋" w:cs="Times New Roman"/>
          <w:sz w:val="28"/>
          <w:szCs w:val="32"/>
          <w:lang w:eastAsia="zh-CN" w:bidi="ar-SA"/>
        </w:rPr>
        <w:t>房产开发、商业服务业配套和公共管理服务，通过统筹规划各类配置，各种功能相互协调，做好重点工程、重大项目的土地要素保障，营造高品质的城市空间。</w:t>
      </w:r>
      <w:r>
        <w:rPr>
          <w:rFonts w:hint="default" w:ascii="Times New Roman" w:hAnsi="Times New Roman" w:eastAsia="仿宋" w:cs="Times New Roman"/>
          <w:sz w:val="28"/>
          <w:szCs w:val="32"/>
          <w:lang w:val="en-US" w:eastAsia="zh-CN" w:bidi="ar-SA"/>
        </w:rPr>
        <w:t>成片开发方案的编制实施</w:t>
      </w:r>
      <w:r>
        <w:rPr>
          <w:rFonts w:hint="eastAsia" w:ascii="Times New Roman" w:hAnsi="Times New Roman" w:eastAsia="仿宋" w:cs="Times New Roman"/>
          <w:sz w:val="28"/>
          <w:szCs w:val="32"/>
          <w:lang w:val="en-US" w:eastAsia="zh-CN" w:bidi="ar-SA"/>
        </w:rPr>
        <w:t>可促</w:t>
      </w:r>
      <w:r>
        <w:rPr>
          <w:rFonts w:hint="default" w:ascii="Times New Roman" w:hAnsi="Times New Roman" w:eastAsia="仿宋" w:cs="Times New Roman"/>
          <w:sz w:val="28"/>
          <w:szCs w:val="32"/>
          <w:lang w:eastAsia="zh-CN" w:bidi="ar-SA"/>
        </w:rPr>
        <w:t>进《高平市国民经济和社会发展第十四个五年规划纲要》、《高平市国土空间总体规划（2021-2035年）》等相关规划的指标、要求和建设内容尽快有序落地，逐步实现相关规划设定的发展和建设目标，体现规划的法定性、时效性和指导价值。</w:t>
      </w:r>
      <w:r>
        <w:rPr>
          <w:rFonts w:hint="default" w:ascii="Times New Roman" w:hAnsi="Times New Roman" w:eastAsia="仿宋" w:cs="Times New Roman"/>
          <w:sz w:val="28"/>
          <w:szCs w:val="32"/>
          <w:lang w:val="en-US" w:eastAsia="zh-CN" w:bidi="ar-SA"/>
        </w:rPr>
        <w:t>可加快</w:t>
      </w:r>
      <w:r>
        <w:rPr>
          <w:rFonts w:hint="eastAsia" w:ascii="Times New Roman" w:hAnsi="Times New Roman" w:eastAsia="仿宋" w:cs="Times New Roman"/>
          <w:sz w:val="28"/>
          <w:szCs w:val="32"/>
          <w:lang w:val="en-US" w:eastAsia="zh-CN" w:bidi="ar-SA"/>
        </w:rPr>
        <w:t>高平市</w:t>
      </w:r>
      <w:r>
        <w:rPr>
          <w:rFonts w:hint="default" w:ascii="Times New Roman" w:hAnsi="Times New Roman" w:eastAsia="仿宋" w:cs="Times New Roman"/>
          <w:sz w:val="28"/>
          <w:szCs w:val="32"/>
          <w:lang w:val="en-US" w:eastAsia="zh-CN" w:bidi="ar-SA"/>
        </w:rPr>
        <w:t>区域经济转型、推动产业链和创新链协同发展，形成创新经济集聚发展新格局，</w:t>
      </w:r>
      <w:bookmarkEnd w:id="24"/>
      <w:bookmarkEnd w:id="25"/>
      <w:bookmarkEnd w:id="26"/>
      <w:bookmarkEnd w:id="27"/>
      <w:bookmarkEnd w:id="28"/>
      <w:r>
        <w:rPr>
          <w:rFonts w:hint="default" w:ascii="Times New Roman" w:hAnsi="Times New Roman" w:eastAsia="仿宋" w:cs="Times New Roman"/>
          <w:sz w:val="28"/>
          <w:szCs w:val="32"/>
          <w:lang w:val="en-US" w:eastAsia="zh-CN" w:bidi="ar-SA"/>
        </w:rPr>
        <w:t>有利于政府统一组织实施基础设施建设，统一组织项目招商引资，加快推动区域的开发建设。</w:t>
      </w:r>
    </w:p>
    <w:p w14:paraId="4DB40EE5">
      <w:pPr>
        <w:pStyle w:val="3"/>
        <w:numPr>
          <w:ilvl w:val="1"/>
          <w:numId w:val="0"/>
        </w:numPr>
        <w:tabs>
          <w:tab w:val="clear" w:pos="420"/>
        </w:tabs>
        <w:bidi w:val="0"/>
        <w:ind w:left="575" w:leftChars="0" w:hanging="575" w:firstLineChars="0"/>
        <w:rPr>
          <w:rFonts w:hint="default"/>
          <w:sz w:val="32"/>
          <w:szCs w:val="32"/>
        </w:rPr>
      </w:pPr>
      <w:bookmarkStart w:id="29" w:name="_Toc6020"/>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维护被征地农民的权益，多渠道增加农民收益</w:t>
      </w:r>
      <w:bookmarkEnd w:id="29"/>
    </w:p>
    <w:p w14:paraId="23A729D4">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落实村集体的发展需求，推动项目落地，切实保障被征地农民的合法权益，助力乡村振兴战略的实施。同时，该区域纳入土地征收成片开发，有利于统一土地征收补偿，公平保障农民权益，防止农民征地补偿不到位引发纠纷。</w:t>
      </w:r>
    </w:p>
    <w:p w14:paraId="0F256243">
      <w:pPr>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br w:type="page"/>
      </w:r>
    </w:p>
    <w:p w14:paraId="3A464428">
      <w:pPr>
        <w:pStyle w:val="2"/>
        <w:numPr>
          <w:ilvl w:val="0"/>
          <w:numId w:val="0"/>
        </w:numPr>
        <w:bidi w:val="0"/>
        <w:ind w:left="432" w:leftChars="0" w:hanging="432" w:firstLineChars="0"/>
        <w:jc w:val="both"/>
        <w:rPr>
          <w:rFonts w:hint="default"/>
          <w:sz w:val="40"/>
          <w:szCs w:val="40"/>
        </w:rPr>
      </w:pPr>
      <w:bookmarkStart w:id="30" w:name="_Toc32266"/>
      <w:r>
        <w:rPr>
          <w:rFonts w:hint="default" w:ascii="Times New Roman" w:hAnsi="Times New Roman" w:eastAsia="仿宋" w:cs="Times New Roman"/>
          <w:b/>
          <w:bCs/>
          <w:kern w:val="44"/>
          <w:sz w:val="40"/>
          <w:szCs w:val="40"/>
          <w:lang w:val="en-US" w:eastAsia="zh-CN"/>
        </w:rPr>
        <w:t>4.</w:t>
      </w:r>
      <w:r>
        <w:rPr>
          <w:rFonts w:hint="default"/>
          <w:sz w:val="40"/>
          <w:szCs w:val="40"/>
        </w:rPr>
        <w:t>主要用途和实现的功能</w:t>
      </w:r>
      <w:bookmarkEnd w:id="30"/>
    </w:p>
    <w:p w14:paraId="403AD9E8">
      <w:pPr>
        <w:pStyle w:val="3"/>
        <w:numPr>
          <w:ilvl w:val="1"/>
          <w:numId w:val="0"/>
        </w:numPr>
        <w:tabs>
          <w:tab w:val="clear" w:pos="420"/>
        </w:tabs>
        <w:bidi w:val="0"/>
        <w:ind w:left="575" w:leftChars="0" w:hanging="575" w:firstLineChars="0"/>
        <w:rPr>
          <w:rFonts w:hint="default"/>
          <w:sz w:val="32"/>
          <w:szCs w:val="32"/>
        </w:rPr>
      </w:pPr>
      <w:bookmarkStart w:id="31" w:name="_Toc30011"/>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eastAsia" w:cs="Times New Roman"/>
          <w:b/>
          <w:bCs/>
          <w:kern w:val="2"/>
          <w:sz w:val="32"/>
          <w:szCs w:val="32"/>
          <w:lang w:val="en-US" w:eastAsia="zh-CN"/>
        </w:rPr>
        <w:t>1</w:t>
      </w:r>
      <w:r>
        <w:rPr>
          <w:rFonts w:hint="eastAsia" w:ascii="Times New Roman" w:hAnsi="Times New Roman" w:eastAsia="仿宋" w:cs="Times New Roman"/>
          <w:b/>
          <w:bCs/>
          <w:kern w:val="2"/>
          <w:sz w:val="32"/>
          <w:szCs w:val="32"/>
          <w:lang w:val="en-US" w:eastAsia="zh-CN"/>
        </w:rPr>
        <w:t>.</w:t>
      </w:r>
      <w:r>
        <w:rPr>
          <w:rFonts w:hint="default"/>
          <w:sz w:val="32"/>
          <w:szCs w:val="32"/>
        </w:rPr>
        <w:t>主要用途</w:t>
      </w:r>
      <w:r>
        <w:rPr>
          <w:rFonts w:hint="eastAsia"/>
          <w:sz w:val="32"/>
          <w:szCs w:val="32"/>
          <w:lang w:val="en-US" w:eastAsia="zh-CN"/>
        </w:rPr>
        <w:t>和</w:t>
      </w:r>
      <w:r>
        <w:rPr>
          <w:rFonts w:hint="default" w:ascii="Times New Roman" w:hAnsi="Times New Roman"/>
          <w:sz w:val="32"/>
          <w:szCs w:val="32"/>
          <w:lang w:val="en-US" w:eastAsia="zh-CN"/>
        </w:rPr>
        <w:t>实现的功能</w:t>
      </w:r>
      <w:bookmarkEnd w:id="31"/>
    </w:p>
    <w:p w14:paraId="293516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sz w:val="28"/>
          <w:szCs w:val="32"/>
          <w:highlight w:val="none"/>
          <w:lang w:val="en-US" w:eastAsia="zh-CN" w:bidi="ar-SA"/>
        </w:rPr>
        <w:t>方案内拟安排的项目</w:t>
      </w:r>
      <w:r>
        <w:rPr>
          <w:rFonts w:hint="default" w:ascii="Times New Roman" w:hAnsi="Times New Roman" w:eastAsia="仿宋" w:cs="Times New Roman"/>
          <w:sz w:val="28"/>
          <w:szCs w:val="32"/>
          <w:highlight w:val="none"/>
          <w:lang w:eastAsia="zh-CN" w:bidi="ar-SA"/>
        </w:rPr>
        <w:t>主要用途为</w:t>
      </w:r>
      <w:r>
        <w:rPr>
          <w:rFonts w:hint="eastAsia" w:ascii="Times New Roman" w:hAnsi="Times New Roman" w:eastAsia="仿宋" w:cs="Times New Roman"/>
          <w:sz w:val="28"/>
          <w:szCs w:val="32"/>
          <w:highlight w:val="none"/>
          <w:lang w:val="en-US" w:eastAsia="zh-CN" w:bidi="ar-SA"/>
        </w:rPr>
        <w:t>居住用地</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商业服务业用地、</w:t>
      </w:r>
      <w:r>
        <w:rPr>
          <w:rFonts w:hint="eastAsia" w:ascii="Times New Roman" w:hAnsi="Times New Roman" w:eastAsia="仿宋" w:cs="Times New Roman"/>
          <w:sz w:val="28"/>
          <w:szCs w:val="32"/>
          <w:highlight w:val="none"/>
          <w:lang w:val="en-US" w:eastAsia="zh-CN" w:bidi="ar-SA"/>
        </w:rPr>
        <w:t>仓储用地、</w:t>
      </w:r>
      <w:r>
        <w:rPr>
          <w:rFonts w:hint="default" w:ascii="Times New Roman" w:hAnsi="Times New Roman" w:eastAsia="仿宋" w:cs="Times New Roman"/>
          <w:sz w:val="28"/>
          <w:szCs w:val="32"/>
          <w:highlight w:val="none"/>
          <w:lang w:eastAsia="zh-CN" w:bidi="ar-SA"/>
        </w:rPr>
        <w:t>工矿用地、交通运输用地</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公用设施用地</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拟安排的项目共9个，</w:t>
      </w:r>
      <w:r>
        <w:rPr>
          <w:rFonts w:hint="default" w:ascii="Times New Roman" w:hAnsi="Times New Roman" w:eastAsia="仿宋" w:cs="Times New Roman"/>
          <w:sz w:val="28"/>
          <w:szCs w:val="32"/>
          <w:highlight w:val="none"/>
          <w:lang w:eastAsia="zh-CN" w:bidi="ar-SA"/>
        </w:rPr>
        <w:t>面积总计</w:t>
      </w:r>
      <w:r>
        <w:rPr>
          <w:rFonts w:hint="eastAsia" w:ascii="Times New Roman" w:hAnsi="Times New Roman" w:eastAsia="仿宋" w:cs="Times New Roman"/>
          <w:sz w:val="28"/>
          <w:szCs w:val="32"/>
          <w:highlight w:val="none"/>
          <w:lang w:val="en-US" w:eastAsia="zh-CN" w:bidi="ar-SA"/>
        </w:rPr>
        <w:t>45.9447</w:t>
      </w:r>
      <w:r>
        <w:rPr>
          <w:rFonts w:hint="default" w:ascii="Times New Roman" w:hAnsi="Times New Roman" w:eastAsia="仿宋" w:cs="Times New Roman"/>
          <w:sz w:val="28"/>
          <w:szCs w:val="32"/>
          <w:highlight w:val="none"/>
          <w:lang w:eastAsia="zh-CN" w:bidi="ar-SA"/>
        </w:rPr>
        <w:t>公顷</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见表4-1。</w:t>
      </w:r>
    </w:p>
    <w:p w14:paraId="12E036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表4-1 土地用途与实现功能情况统计表</w:t>
      </w:r>
    </w:p>
    <w:p w14:paraId="68D56BDA">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单位：公顷</w:t>
      </w:r>
    </w:p>
    <w:tbl>
      <w:tblPr>
        <w:tblStyle w:val="1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509"/>
        <w:gridCol w:w="932"/>
        <w:gridCol w:w="3081"/>
        <w:gridCol w:w="1469"/>
        <w:gridCol w:w="933"/>
      </w:tblGrid>
      <w:tr w14:paraId="46FC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6" w:type="pct"/>
            <w:tcBorders>
              <w:bottom w:val="single" w:color="000000" w:sz="8" w:space="0"/>
              <w:right w:val="single" w:color="000000" w:sz="8" w:space="0"/>
            </w:tcBorders>
            <w:shd w:val="clear" w:color="auto" w:fill="auto"/>
            <w:noWrap/>
            <w:vAlign w:val="center"/>
          </w:tcPr>
          <w:p w14:paraId="3B1A92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851" w:type="pct"/>
            <w:tcBorders>
              <w:left w:val="single" w:color="000000" w:sz="8" w:space="0"/>
              <w:bottom w:val="single" w:color="000000" w:sz="8" w:space="0"/>
              <w:right w:val="single" w:color="000000" w:sz="8" w:space="0"/>
            </w:tcBorders>
            <w:shd w:val="clear" w:color="auto" w:fill="auto"/>
            <w:noWrap/>
            <w:vAlign w:val="center"/>
          </w:tcPr>
          <w:p w14:paraId="75AF30F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526" w:type="pct"/>
            <w:tcBorders>
              <w:left w:val="single" w:color="000000" w:sz="8" w:space="0"/>
              <w:bottom w:val="single" w:color="000000" w:sz="8" w:space="0"/>
              <w:right w:val="single" w:color="000000" w:sz="8" w:space="0"/>
            </w:tcBorders>
            <w:shd w:val="clear" w:color="auto" w:fill="auto"/>
            <w:noWrap/>
            <w:vAlign w:val="center"/>
          </w:tcPr>
          <w:p w14:paraId="0957807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1739" w:type="pct"/>
            <w:tcBorders>
              <w:left w:val="single" w:color="000000" w:sz="8" w:space="0"/>
              <w:bottom w:val="single" w:color="000000" w:sz="8" w:space="0"/>
              <w:right w:val="single" w:color="000000" w:sz="8" w:space="0"/>
            </w:tcBorders>
            <w:shd w:val="clear" w:color="auto" w:fill="auto"/>
            <w:noWrap/>
            <w:vAlign w:val="center"/>
          </w:tcPr>
          <w:p w14:paraId="6AF49F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建设项目</w:t>
            </w:r>
          </w:p>
        </w:tc>
        <w:tc>
          <w:tcPr>
            <w:tcW w:w="829" w:type="pct"/>
            <w:tcBorders>
              <w:left w:val="single" w:color="000000" w:sz="8" w:space="0"/>
              <w:bottom w:val="single" w:color="000000" w:sz="8" w:space="0"/>
              <w:right w:val="single" w:color="000000" w:sz="8" w:space="0"/>
            </w:tcBorders>
            <w:shd w:val="clear" w:color="auto" w:fill="auto"/>
            <w:noWrap/>
            <w:vAlign w:val="center"/>
          </w:tcPr>
          <w:p w14:paraId="526FE0E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土地用途</w:t>
            </w:r>
          </w:p>
        </w:tc>
        <w:tc>
          <w:tcPr>
            <w:tcW w:w="526" w:type="pct"/>
            <w:tcBorders>
              <w:left w:val="single" w:color="000000" w:sz="8" w:space="0"/>
              <w:bottom w:val="single" w:color="000000" w:sz="8" w:space="0"/>
            </w:tcBorders>
            <w:shd w:val="clear" w:color="auto" w:fill="auto"/>
            <w:noWrap/>
            <w:vAlign w:val="center"/>
          </w:tcPr>
          <w:p w14:paraId="0FAD6A0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5D3B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1CB26FB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51" w:type="pct"/>
            <w:tcBorders>
              <w:top w:val="nil"/>
              <w:left w:val="nil"/>
              <w:bottom w:val="single" w:color="000000" w:sz="8" w:space="0"/>
              <w:right w:val="single" w:color="000000" w:sz="8" w:space="0"/>
            </w:tcBorders>
            <w:shd w:val="clear" w:color="auto" w:fill="auto"/>
            <w:noWrap/>
            <w:vAlign w:val="bottom"/>
          </w:tcPr>
          <w:p w14:paraId="2BB7D04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28387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E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众禾周边地块统征出让</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989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F0757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4.2527 </w:t>
            </w:r>
          </w:p>
        </w:tc>
      </w:tr>
      <w:tr w14:paraId="20A3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26" w:type="pct"/>
            <w:vMerge w:val="restart"/>
            <w:tcBorders>
              <w:top w:val="nil"/>
              <w:right w:val="single" w:color="000000" w:sz="8" w:space="0"/>
            </w:tcBorders>
            <w:shd w:val="clear" w:color="auto" w:fill="auto"/>
            <w:noWrap/>
            <w:vAlign w:val="center"/>
          </w:tcPr>
          <w:p w14:paraId="7C17B3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51" w:type="pct"/>
            <w:vMerge w:val="restart"/>
            <w:tcBorders>
              <w:top w:val="nil"/>
              <w:left w:val="nil"/>
              <w:right w:val="single" w:color="000000" w:sz="8" w:space="0"/>
            </w:tcBorders>
            <w:shd w:val="clear" w:color="auto" w:fill="auto"/>
            <w:noWrap/>
            <w:vAlign w:val="center"/>
          </w:tcPr>
          <w:p w14:paraId="1B00F8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9B42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9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FB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DBB41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11.1986 </w:t>
            </w:r>
          </w:p>
        </w:tc>
      </w:tr>
      <w:tr w14:paraId="78F6E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vMerge w:val="continue"/>
            <w:tcBorders>
              <w:bottom w:val="single" w:color="000000" w:sz="8" w:space="0"/>
              <w:right w:val="single" w:color="000000" w:sz="8" w:space="0"/>
            </w:tcBorders>
            <w:shd w:val="clear" w:color="auto" w:fill="auto"/>
            <w:noWrap/>
            <w:vAlign w:val="bottom"/>
          </w:tcPr>
          <w:p w14:paraId="042310B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851" w:type="pct"/>
            <w:vMerge w:val="continue"/>
            <w:tcBorders>
              <w:left w:val="nil"/>
              <w:bottom w:val="single" w:color="000000" w:sz="8" w:space="0"/>
              <w:right w:val="single" w:color="000000" w:sz="8" w:space="0"/>
            </w:tcBorders>
            <w:shd w:val="clear" w:color="auto" w:fill="auto"/>
            <w:noWrap/>
            <w:vAlign w:val="bottom"/>
          </w:tcPr>
          <w:p w14:paraId="0F4FB0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1A39F9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92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4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9074A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22.8887 </w:t>
            </w:r>
          </w:p>
        </w:tc>
      </w:tr>
      <w:tr w14:paraId="596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54D634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851" w:type="pct"/>
            <w:tcBorders>
              <w:top w:val="nil"/>
              <w:left w:val="nil"/>
              <w:bottom w:val="single" w:color="000000" w:sz="8" w:space="0"/>
              <w:right w:val="single" w:color="000000" w:sz="8" w:space="0"/>
            </w:tcBorders>
            <w:shd w:val="clear" w:color="auto" w:fill="auto"/>
            <w:noWrap/>
            <w:vAlign w:val="bottom"/>
          </w:tcPr>
          <w:p w14:paraId="08E2BF0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355D22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7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兴园东路</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E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C034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2.0440 </w:t>
            </w:r>
          </w:p>
        </w:tc>
      </w:tr>
      <w:tr w14:paraId="4A04E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02D0A2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51" w:type="pct"/>
            <w:tcBorders>
              <w:top w:val="nil"/>
              <w:left w:val="nil"/>
              <w:bottom w:val="single" w:color="000000" w:sz="8" w:space="0"/>
              <w:right w:val="single" w:color="000000" w:sz="8" w:space="0"/>
            </w:tcBorders>
            <w:shd w:val="clear" w:color="auto" w:fill="auto"/>
            <w:noWrap/>
            <w:vAlign w:val="bottom"/>
          </w:tcPr>
          <w:p w14:paraId="6F6717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A05D57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D3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凯永饲料西侧（高铁新区统征商住）</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2A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3CF315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0.3405 </w:t>
            </w:r>
          </w:p>
        </w:tc>
      </w:tr>
      <w:tr w14:paraId="67EA4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7D618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51" w:type="pct"/>
            <w:tcBorders>
              <w:top w:val="nil"/>
              <w:left w:val="nil"/>
              <w:bottom w:val="single" w:color="000000" w:sz="8" w:space="0"/>
              <w:right w:val="single" w:color="000000" w:sz="8" w:space="0"/>
            </w:tcBorders>
            <w:shd w:val="clear" w:color="auto" w:fill="auto"/>
            <w:noWrap/>
            <w:vAlign w:val="bottom"/>
          </w:tcPr>
          <w:p w14:paraId="6F83DF9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30F45A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B1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6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BEB92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2.6647 </w:t>
            </w:r>
          </w:p>
        </w:tc>
      </w:tr>
      <w:tr w14:paraId="235F3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53783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51" w:type="pct"/>
            <w:tcBorders>
              <w:top w:val="nil"/>
              <w:left w:val="nil"/>
              <w:bottom w:val="single" w:color="000000" w:sz="8" w:space="0"/>
              <w:right w:val="single" w:color="000000" w:sz="8" w:space="0"/>
            </w:tcBorders>
            <w:shd w:val="clear" w:color="auto" w:fill="auto"/>
            <w:noWrap/>
            <w:vAlign w:val="bottom"/>
          </w:tcPr>
          <w:p w14:paraId="32262F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0D9426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3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0B6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D5248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0.1527 </w:t>
            </w:r>
          </w:p>
        </w:tc>
      </w:tr>
      <w:tr w14:paraId="0E4E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457311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51" w:type="pct"/>
            <w:tcBorders>
              <w:top w:val="nil"/>
              <w:left w:val="nil"/>
              <w:bottom w:val="single" w:color="000000" w:sz="8" w:space="0"/>
              <w:right w:val="single" w:color="000000" w:sz="8" w:space="0"/>
            </w:tcBorders>
            <w:shd w:val="clear" w:color="auto" w:fill="auto"/>
            <w:noWrap/>
            <w:vAlign w:val="bottom"/>
          </w:tcPr>
          <w:p w14:paraId="327533B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EAEED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43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太行润源北侧</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A7C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仓储物流用地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98EDCC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6F83A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5082A8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51" w:type="pct"/>
            <w:tcBorders>
              <w:top w:val="nil"/>
              <w:left w:val="nil"/>
              <w:bottom w:val="single" w:color="000000" w:sz="8" w:space="0"/>
              <w:right w:val="single" w:color="000000" w:sz="8" w:space="0"/>
            </w:tcBorders>
            <w:shd w:val="clear" w:color="auto" w:fill="auto"/>
            <w:noWrap/>
            <w:vAlign w:val="bottom"/>
          </w:tcPr>
          <w:p w14:paraId="509220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B9BF1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90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建宁乡统征出让加油站项目</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D23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45502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2BD64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73" w:type="pct"/>
            <w:gridSpan w:val="5"/>
            <w:tcBorders>
              <w:top w:val="nil"/>
              <w:right w:val="single" w:color="000000" w:sz="8" w:space="0"/>
            </w:tcBorders>
            <w:shd w:val="clear" w:color="auto" w:fill="auto"/>
            <w:noWrap/>
            <w:vAlign w:val="center"/>
          </w:tcPr>
          <w:p w14:paraId="4C5E31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526" w:type="pct"/>
            <w:tcBorders>
              <w:top w:val="nil"/>
              <w:left w:val="single" w:color="000000" w:sz="8" w:space="0"/>
            </w:tcBorders>
            <w:shd w:val="clear" w:color="auto" w:fill="auto"/>
            <w:noWrap/>
            <w:vAlign w:val="center"/>
          </w:tcPr>
          <w:p w14:paraId="648B07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45.9447 </w:t>
            </w:r>
          </w:p>
        </w:tc>
      </w:tr>
    </w:tbl>
    <w:p w14:paraId="650B2CF5">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p>
    <w:p w14:paraId="1EB94982">
      <w:pPr>
        <w:pStyle w:val="3"/>
        <w:numPr>
          <w:ilvl w:val="1"/>
          <w:numId w:val="0"/>
        </w:numPr>
        <w:tabs>
          <w:tab w:val="clear" w:pos="420"/>
        </w:tabs>
        <w:bidi w:val="0"/>
        <w:rPr>
          <w:rFonts w:hint="default"/>
          <w:sz w:val="32"/>
          <w:szCs w:val="32"/>
          <w:highlight w:val="none"/>
          <w:lang w:val="en-US" w:eastAsia="zh-CN"/>
        </w:rPr>
      </w:pPr>
      <w:bookmarkStart w:id="32" w:name="_Toc16715"/>
      <w:r>
        <w:rPr>
          <w:rFonts w:hint="eastAsia" w:ascii="Times New Roman" w:hAnsi="Times New Roman" w:eastAsia="仿宋" w:cs="Times New Roman"/>
          <w:b/>
          <w:bCs/>
          <w:kern w:val="2"/>
          <w:sz w:val="32"/>
          <w:szCs w:val="32"/>
          <w:highlight w:val="none"/>
          <w:lang w:val="en-US" w:eastAsia="zh-CN"/>
        </w:rPr>
        <w:t>4.2.</w:t>
      </w:r>
      <w:r>
        <w:rPr>
          <w:rFonts w:hint="eastAsia"/>
          <w:sz w:val="32"/>
          <w:szCs w:val="32"/>
          <w:highlight w:val="none"/>
          <w:lang w:val="en-US" w:eastAsia="zh-CN"/>
        </w:rPr>
        <w:t>各片区</w:t>
      </w:r>
      <w:r>
        <w:rPr>
          <w:rFonts w:hint="default"/>
          <w:sz w:val="32"/>
          <w:szCs w:val="32"/>
          <w:highlight w:val="none"/>
        </w:rPr>
        <w:t>主要用途</w:t>
      </w:r>
      <w:r>
        <w:rPr>
          <w:rFonts w:hint="eastAsia" w:ascii="Times New Roman" w:eastAsia="宋体"/>
          <w:sz w:val="32"/>
          <w:szCs w:val="32"/>
          <w:highlight w:val="none"/>
          <w:lang w:val="en-US" w:eastAsia="zh-CN"/>
        </w:rPr>
        <w:t>和</w:t>
      </w:r>
      <w:r>
        <w:rPr>
          <w:rFonts w:hint="default" w:ascii="Times New Roman" w:hAnsi="Times New Roman"/>
          <w:sz w:val="32"/>
          <w:szCs w:val="32"/>
          <w:highlight w:val="none"/>
          <w:lang w:val="en-US" w:eastAsia="zh-CN"/>
        </w:rPr>
        <w:t>实现的功能</w:t>
      </w:r>
      <w:bookmarkEnd w:id="32"/>
    </w:p>
    <w:p w14:paraId="04A1EA2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color w:val="auto"/>
          <w:sz w:val="28"/>
          <w:szCs w:val="28"/>
          <w:highlight w:val="none"/>
          <w:lang w:eastAsia="zh-CN" w:bidi="ar-SA"/>
        </w:rPr>
        <w:t>以</w:t>
      </w:r>
      <w:r>
        <w:rPr>
          <w:rFonts w:hint="default" w:ascii="Times New Roman" w:hAnsi="Times New Roman" w:eastAsia="仿宋" w:cs="Times New Roman"/>
          <w:color w:val="auto"/>
          <w:sz w:val="28"/>
          <w:szCs w:val="32"/>
          <w:highlight w:val="none"/>
          <w:lang w:bidi="ar-SA"/>
        </w:rPr>
        <w:t>工</w:t>
      </w:r>
      <w:r>
        <w:rPr>
          <w:rFonts w:hint="eastAsia" w:ascii="Times New Roman" w:hAnsi="Times New Roman" w:eastAsia="仿宋" w:cs="Times New Roman"/>
          <w:color w:val="auto"/>
          <w:sz w:val="28"/>
          <w:szCs w:val="32"/>
          <w:highlight w:val="none"/>
          <w:lang w:val="en-US" w:eastAsia="zh-CN" w:bidi="ar-SA"/>
        </w:rPr>
        <w:t>业</w:t>
      </w:r>
      <w:r>
        <w:rPr>
          <w:rFonts w:hint="default" w:ascii="Times New Roman" w:hAnsi="Times New Roman" w:eastAsia="仿宋" w:cs="Times New Roman"/>
          <w:color w:val="auto"/>
          <w:sz w:val="28"/>
          <w:szCs w:val="32"/>
          <w:highlight w:val="none"/>
          <w:lang w:bidi="ar-SA"/>
        </w:rPr>
        <w:t>用地</w:t>
      </w:r>
      <w:r>
        <w:rPr>
          <w:rFonts w:hint="default" w:ascii="Times New Roman" w:hAnsi="Times New Roman" w:eastAsia="仿宋" w:cs="Times New Roman"/>
          <w:color w:val="auto"/>
          <w:sz w:val="28"/>
          <w:szCs w:val="28"/>
          <w:highlight w:val="none"/>
          <w:lang w:eastAsia="zh-CN" w:bidi="ar-SA"/>
        </w:rPr>
        <w:t>为主，</w:t>
      </w:r>
      <w:r>
        <w:rPr>
          <w:rFonts w:hint="eastAsia" w:ascii="Times New Roman" w:hAnsi="Times New Roman" w:eastAsia="仿宋" w:cs="Times New Roman"/>
          <w:color w:val="auto"/>
          <w:sz w:val="28"/>
          <w:szCs w:val="28"/>
          <w:highlight w:val="none"/>
          <w:lang w:val="en-US" w:eastAsia="zh-CN" w:bidi="ar-SA"/>
        </w:rPr>
        <w:t>依托三甲工业园现有产业</w:t>
      </w:r>
      <w:r>
        <w:rPr>
          <w:rFonts w:hint="default" w:ascii="Times New Roman" w:hAnsi="Times New Roman" w:eastAsia="仿宋" w:cs="Times New Roman"/>
          <w:color w:val="auto"/>
          <w:sz w:val="28"/>
          <w:szCs w:val="28"/>
          <w:highlight w:val="none"/>
          <w:lang w:eastAsia="zh-CN" w:bidi="ar-SA"/>
        </w:rPr>
        <w:t>，重点推进</w:t>
      </w:r>
      <w:r>
        <w:rPr>
          <w:rFonts w:hint="eastAsia" w:ascii="Times New Roman" w:hAnsi="Times New Roman" w:eastAsia="仿宋" w:cs="Times New Roman"/>
          <w:color w:val="auto"/>
          <w:sz w:val="28"/>
          <w:szCs w:val="28"/>
          <w:highlight w:val="none"/>
          <w:lang w:eastAsia="zh-CN" w:bidi="ar-SA"/>
        </w:rPr>
        <w:t>装配式建筑生产、食品加工产业等</w:t>
      </w:r>
      <w:r>
        <w:rPr>
          <w:rFonts w:hint="default" w:ascii="Times New Roman" w:hAnsi="Times New Roman" w:eastAsia="仿宋" w:cs="Times New Roman"/>
          <w:color w:val="auto"/>
          <w:sz w:val="28"/>
          <w:szCs w:val="28"/>
          <w:highlight w:val="none"/>
          <w:lang w:eastAsia="zh-CN" w:bidi="ar-SA"/>
        </w:rPr>
        <w:t>，支持发展低能耗、低排放、高附加值、高科技含量的产业，倒逼产能严重过剩、工艺装备水平落后的淘汰类产业退出市场</w:t>
      </w:r>
      <w:r>
        <w:rPr>
          <w:rFonts w:hint="eastAsia" w:ascii="Times New Roman" w:hAnsi="Times New Roman" w:eastAsia="仿宋" w:cs="Times New Roman"/>
          <w:color w:val="auto"/>
          <w:sz w:val="28"/>
          <w:szCs w:val="28"/>
          <w:highlight w:val="none"/>
          <w:lang w:eastAsia="zh-CN" w:bidi="ar-SA"/>
        </w:rPr>
        <w:t>。</w:t>
      </w:r>
    </w:p>
    <w:p w14:paraId="77A56ED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color w:val="auto"/>
          <w:sz w:val="28"/>
          <w:szCs w:val="32"/>
          <w:lang w:bidi="ar-SA"/>
        </w:rPr>
        <w:t>以工</w:t>
      </w:r>
      <w:r>
        <w:rPr>
          <w:rFonts w:hint="eastAsia" w:ascii="Times New Roman" w:hAnsi="Times New Roman" w:eastAsia="仿宋" w:cs="Times New Roman"/>
          <w:color w:val="auto"/>
          <w:sz w:val="28"/>
          <w:szCs w:val="32"/>
          <w:lang w:val="en-US" w:eastAsia="zh-CN" w:bidi="ar-SA"/>
        </w:rPr>
        <w:t>业</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顺应</w:t>
      </w:r>
      <w:r>
        <w:rPr>
          <w:rFonts w:hint="default" w:ascii="Times New Roman" w:hAnsi="Times New Roman" w:eastAsia="仿宋" w:cs="Times New Roman"/>
          <w:color w:val="auto"/>
          <w:sz w:val="28"/>
          <w:szCs w:val="32"/>
          <w:lang w:bidi="ar-SA"/>
        </w:rPr>
        <w:t>米山</w:t>
      </w:r>
      <w:r>
        <w:rPr>
          <w:rFonts w:hint="eastAsia" w:ascii="Times New Roman" w:hAnsi="Times New Roman" w:eastAsia="仿宋" w:cs="Times New Roman"/>
          <w:color w:val="auto"/>
          <w:sz w:val="28"/>
          <w:szCs w:val="32"/>
          <w:lang w:val="en-US" w:eastAsia="zh-CN" w:bidi="ar-SA"/>
        </w:rPr>
        <w:t>的</w:t>
      </w:r>
      <w:r>
        <w:rPr>
          <w:rFonts w:hint="default" w:ascii="Times New Roman" w:hAnsi="Times New Roman" w:eastAsia="仿宋" w:cs="Times New Roman"/>
          <w:color w:val="auto"/>
          <w:sz w:val="28"/>
          <w:szCs w:val="32"/>
          <w:lang w:bidi="ar-SA"/>
        </w:rPr>
        <w:t>重点</w:t>
      </w:r>
      <w:r>
        <w:rPr>
          <w:rFonts w:hint="eastAsia" w:ascii="Times New Roman" w:hAnsi="Times New Roman" w:eastAsia="仿宋" w:cs="Times New Roman"/>
          <w:color w:val="auto"/>
          <w:sz w:val="28"/>
          <w:szCs w:val="32"/>
          <w:lang w:val="en-US" w:eastAsia="zh-CN" w:bidi="ar-SA"/>
        </w:rPr>
        <w:t>产业发展方向，以</w:t>
      </w:r>
      <w:r>
        <w:rPr>
          <w:rFonts w:hint="default" w:ascii="Times New Roman" w:hAnsi="Times New Roman" w:eastAsia="仿宋" w:cs="Times New Roman"/>
          <w:color w:val="auto"/>
          <w:sz w:val="28"/>
          <w:szCs w:val="32"/>
          <w:lang w:bidi="ar-SA"/>
        </w:rPr>
        <w:t>打造</w:t>
      </w:r>
      <w:r>
        <w:rPr>
          <w:rFonts w:hint="eastAsia" w:ascii="Times New Roman" w:hAnsi="Times New Roman" w:eastAsia="仿宋" w:cs="Times New Roman"/>
          <w:color w:val="auto"/>
          <w:sz w:val="28"/>
          <w:szCs w:val="32"/>
          <w:lang w:val="en-US" w:eastAsia="zh-CN" w:bidi="ar-SA"/>
        </w:rPr>
        <w:t>高质量</w:t>
      </w:r>
      <w:r>
        <w:rPr>
          <w:rFonts w:hint="default" w:ascii="Times New Roman" w:hAnsi="Times New Roman" w:eastAsia="仿宋" w:cs="Times New Roman"/>
          <w:color w:val="auto"/>
          <w:sz w:val="28"/>
          <w:szCs w:val="32"/>
          <w:lang w:bidi="ar-SA"/>
        </w:rPr>
        <w:t>精密铸造产业</w:t>
      </w:r>
      <w:r>
        <w:rPr>
          <w:rFonts w:hint="eastAsia" w:ascii="Times New Roman" w:hAnsi="Times New Roman" w:eastAsia="仿宋" w:cs="Times New Roman"/>
          <w:color w:val="auto"/>
          <w:sz w:val="28"/>
          <w:szCs w:val="32"/>
          <w:lang w:val="en-US" w:eastAsia="zh-CN" w:bidi="ar-SA"/>
        </w:rPr>
        <w:t>为目标，支撑实体经济高效发展，为城市基础设施建设服务，提升城市的功能性。促进下游产业发展，增加就业岗位，为居民增收。</w:t>
      </w:r>
    </w:p>
    <w:p w14:paraId="2EC600C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公路</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该片区对于健全公共服务体系，满足居民生活需求，增强人民群众获得感、幸福感、安全感，具有十分重要的意义。</w:t>
      </w:r>
    </w:p>
    <w:p w14:paraId="3CD4A6F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color w:val="auto"/>
          <w:sz w:val="28"/>
          <w:szCs w:val="32"/>
          <w:highlight w:val="none"/>
          <w:lang w:eastAsia="zh-CN" w:bidi="ar-SA"/>
        </w:rPr>
        <w:t>以</w:t>
      </w:r>
      <w:r>
        <w:rPr>
          <w:rFonts w:hint="eastAsia" w:ascii="Times New Roman" w:hAnsi="Times New Roman" w:eastAsia="仿宋" w:cs="Times New Roman"/>
          <w:color w:val="auto"/>
          <w:sz w:val="28"/>
          <w:szCs w:val="32"/>
          <w:highlight w:val="none"/>
          <w:lang w:val="en-US" w:eastAsia="zh-CN" w:bidi="ar-SA"/>
        </w:rPr>
        <w:t>商业服务业</w:t>
      </w:r>
      <w:r>
        <w:rPr>
          <w:rFonts w:hint="default" w:ascii="Times New Roman" w:hAnsi="Times New Roman" w:eastAsia="仿宋" w:cs="Times New Roman"/>
          <w:color w:val="auto"/>
          <w:sz w:val="28"/>
          <w:szCs w:val="32"/>
          <w:highlight w:val="none"/>
          <w:lang w:eastAsia="zh-CN" w:bidi="ar-SA"/>
        </w:rPr>
        <w:t>用地为主，</w:t>
      </w:r>
      <w:r>
        <w:rPr>
          <w:rFonts w:hint="eastAsia" w:ascii="Times New Roman" w:hAnsi="Times New Roman" w:eastAsia="仿宋" w:cs="Times New Roman"/>
          <w:color w:val="auto"/>
          <w:sz w:val="28"/>
          <w:szCs w:val="32"/>
          <w:highlight w:val="none"/>
          <w:lang w:val="en-US" w:eastAsia="zh-CN" w:bidi="ar-SA"/>
        </w:rPr>
        <w:t>大力发展与居民生活质量息息相关的相关商业配套设施，</w:t>
      </w:r>
      <w:r>
        <w:rPr>
          <w:rFonts w:hint="default" w:ascii="Times New Roman" w:hAnsi="Times New Roman" w:eastAsia="仿宋" w:cs="Times New Roman"/>
          <w:color w:val="auto"/>
          <w:sz w:val="28"/>
          <w:szCs w:val="32"/>
          <w:highlight w:val="none"/>
          <w:lang w:eastAsia="zh-CN" w:bidi="ar-SA"/>
        </w:rPr>
        <w:t>依托</w:t>
      </w:r>
      <w:r>
        <w:rPr>
          <w:rFonts w:hint="eastAsia" w:ascii="Times New Roman" w:hAnsi="Times New Roman" w:eastAsia="仿宋" w:cs="Times New Roman"/>
          <w:color w:val="auto"/>
          <w:sz w:val="28"/>
          <w:szCs w:val="32"/>
          <w:highlight w:val="none"/>
          <w:lang w:val="en-US" w:eastAsia="zh-CN" w:bidi="ar-SA"/>
        </w:rPr>
        <w:t>东城、南城街道办现有的</w:t>
      </w:r>
      <w:r>
        <w:rPr>
          <w:rFonts w:hint="default" w:ascii="Times New Roman" w:hAnsi="Times New Roman" w:eastAsia="仿宋" w:cs="Times New Roman"/>
          <w:color w:val="auto"/>
          <w:sz w:val="28"/>
          <w:szCs w:val="32"/>
          <w:highlight w:val="none"/>
          <w:lang w:eastAsia="zh-CN" w:bidi="ar-SA"/>
        </w:rPr>
        <w:t>商业基础，完善</w:t>
      </w:r>
      <w:r>
        <w:rPr>
          <w:rFonts w:hint="eastAsia" w:ascii="Times New Roman" w:hAnsi="Times New Roman" w:eastAsia="仿宋" w:cs="Times New Roman"/>
          <w:color w:val="auto"/>
          <w:sz w:val="28"/>
          <w:szCs w:val="32"/>
          <w:highlight w:val="none"/>
          <w:lang w:val="en-US" w:eastAsia="zh-CN" w:bidi="ar-SA"/>
        </w:rPr>
        <w:t>该片区的城镇生活居住、商业和服务业等功能。</w:t>
      </w:r>
    </w:p>
    <w:p w14:paraId="08C519B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苏庄商业片区1、苏庄商业片区2：</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通过不断完善喜镇苏庄的建设，可以有效利用和保护古建筑，传播传统文化，促进旅游业发展</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有利于形成“一纵两横七片区”的空间布局，构建全域文化旅游康养格局。对提高城市形象，保护传统文化遗产，促进经济发展有重要意义。</w:t>
      </w:r>
    </w:p>
    <w:p w14:paraId="28FC594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物流</w:t>
      </w:r>
      <w:r>
        <w:rPr>
          <w:rFonts w:hint="default" w:ascii="Times New Roman" w:hAnsi="Times New Roman" w:eastAsia="仿宋" w:cs="Times New Roman"/>
          <w:color w:val="auto"/>
          <w:sz w:val="28"/>
          <w:szCs w:val="32"/>
          <w:lang w:eastAsia="zh-CN" w:bidi="ar-SA"/>
        </w:rPr>
        <w:t>仓储用地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通过修建功能齐全的物流园区，可以降低物流成本，减少分散物流园区对城市空间的占用，减少对居民生活和城市环境的干扰，优化城市空间布局，提升城市形象。</w:t>
      </w:r>
    </w:p>
    <w:p w14:paraId="3D967401">
      <w:pPr>
        <w:spacing w:line="240" w:lineRule="auto"/>
        <w:ind w:firstLine="640"/>
        <w:rPr>
          <w:rFonts w:hint="default" w:ascii="Times New Roman" w:hAnsi="Times New Roman" w:eastAsia="仿宋" w:cs="Times New Roman"/>
          <w:b/>
          <w:bCs/>
          <w:color w:val="auto"/>
          <w:sz w:val="28"/>
          <w:szCs w:val="32"/>
          <w:lang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发展相关配套基础设施，为城市基础设施建设服务，提升城市的功能性，</w:t>
      </w:r>
      <w:r>
        <w:rPr>
          <w:rFonts w:hint="default" w:ascii="Times New Roman" w:hAnsi="Times New Roman" w:eastAsia="仿宋" w:cs="Times New Roman"/>
          <w:color w:val="auto"/>
          <w:sz w:val="28"/>
          <w:szCs w:val="32"/>
          <w:highlight w:val="none"/>
          <w:lang w:eastAsia="zh-CN" w:bidi="ar-SA"/>
        </w:rPr>
        <w:t>完善</w:t>
      </w:r>
      <w:r>
        <w:rPr>
          <w:rFonts w:hint="eastAsia" w:ascii="Times New Roman" w:hAnsi="Times New Roman" w:eastAsia="仿宋" w:cs="Times New Roman"/>
          <w:color w:val="auto"/>
          <w:sz w:val="28"/>
          <w:szCs w:val="32"/>
          <w:highlight w:val="none"/>
          <w:lang w:val="en-US" w:eastAsia="zh-CN" w:bidi="ar-SA"/>
        </w:rPr>
        <w:t>该片区的城镇生活商业和服务业等功能。</w:t>
      </w:r>
    </w:p>
    <w:p w14:paraId="2C925DC9">
      <w:pPr>
        <w:spacing w:line="240" w:lineRule="auto"/>
        <w:ind w:firstLine="640"/>
        <w:rPr>
          <w:rFonts w:hint="default" w:ascii="Times New Roman" w:hAnsi="Times New Roman" w:eastAsia="仿宋" w:cs="Times New Roman"/>
          <w:b/>
          <w:bCs/>
          <w:color w:val="auto"/>
          <w:sz w:val="28"/>
          <w:szCs w:val="32"/>
          <w:lang w:bidi="ar-SA"/>
        </w:rPr>
      </w:pPr>
    </w:p>
    <w:p w14:paraId="7350AA94">
      <w:pPr>
        <w:rPr>
          <w:rFonts w:hint="default" w:ascii="Times New Roman" w:hAnsi="Times New Roman" w:eastAsia="仿宋" w:cs="Times New Roman"/>
          <w:sz w:val="28"/>
          <w:szCs w:val="32"/>
          <w:lang w:bidi="ar-SA"/>
        </w:rPr>
      </w:pPr>
      <w:r>
        <w:rPr>
          <w:rFonts w:hint="default" w:ascii="Times New Roman" w:hAnsi="Times New Roman" w:eastAsia="仿宋" w:cs="Times New Roman"/>
          <w:sz w:val="28"/>
          <w:szCs w:val="32"/>
          <w:lang w:bidi="ar-SA"/>
        </w:rPr>
        <w:br w:type="page"/>
      </w:r>
    </w:p>
    <w:p w14:paraId="54A92DD1">
      <w:pPr>
        <w:pStyle w:val="2"/>
        <w:numPr>
          <w:ilvl w:val="0"/>
          <w:numId w:val="0"/>
        </w:numPr>
        <w:bidi w:val="0"/>
        <w:ind w:left="432" w:leftChars="0" w:hanging="432" w:firstLineChars="0"/>
        <w:jc w:val="both"/>
        <w:rPr>
          <w:rFonts w:hint="default"/>
          <w:sz w:val="40"/>
          <w:szCs w:val="40"/>
        </w:rPr>
      </w:pPr>
      <w:bookmarkStart w:id="33" w:name="_Toc29277"/>
      <w:r>
        <w:rPr>
          <w:rFonts w:hint="default" w:ascii="Times New Roman" w:hAnsi="Times New Roman" w:eastAsia="仿宋" w:cs="Times New Roman"/>
          <w:b/>
          <w:bCs/>
          <w:kern w:val="44"/>
          <w:sz w:val="40"/>
          <w:szCs w:val="40"/>
          <w:lang w:val="en-US" w:eastAsia="zh-CN"/>
        </w:rPr>
        <w:t>5.</w:t>
      </w:r>
      <w:r>
        <w:rPr>
          <w:rFonts w:hint="eastAsia"/>
          <w:sz w:val="40"/>
          <w:szCs w:val="40"/>
          <w:lang w:val="en-US" w:eastAsia="zh-CN"/>
        </w:rPr>
        <w:t>拟</w:t>
      </w:r>
      <w:r>
        <w:rPr>
          <w:rFonts w:hint="default"/>
          <w:sz w:val="40"/>
          <w:szCs w:val="40"/>
        </w:rPr>
        <w:t>安排的建设项目、开发时序和年度实施计划</w:t>
      </w:r>
      <w:bookmarkEnd w:id="33"/>
    </w:p>
    <w:p w14:paraId="44B06A40">
      <w:pPr>
        <w:pStyle w:val="3"/>
        <w:numPr>
          <w:ilvl w:val="1"/>
          <w:numId w:val="0"/>
        </w:numPr>
        <w:tabs>
          <w:tab w:val="clear" w:pos="420"/>
        </w:tabs>
        <w:bidi w:val="0"/>
        <w:ind w:left="575" w:leftChars="0" w:hanging="575" w:firstLineChars="0"/>
        <w:rPr>
          <w:rFonts w:hint="default"/>
          <w:sz w:val="32"/>
          <w:szCs w:val="32"/>
          <w:lang w:val="en-US" w:eastAsia="zh-CN"/>
        </w:rPr>
      </w:pPr>
      <w:bookmarkStart w:id="34" w:name="_Toc25734"/>
      <w:bookmarkStart w:id="35" w:name="_Toc21754"/>
      <w:bookmarkStart w:id="36" w:name="_Toc24786"/>
      <w:bookmarkStart w:id="37" w:name="_Toc706"/>
      <w:r>
        <w:rPr>
          <w:rFonts w:hint="eastAsia" w:ascii="Times New Roman" w:hAnsi="Times New Roman" w:eastAsia="仿宋" w:cs="Times New Roman"/>
          <w:b/>
          <w:bCs/>
          <w:kern w:val="2"/>
          <w:sz w:val="32"/>
          <w:szCs w:val="32"/>
          <w:lang w:val="en-US" w:eastAsia="zh-CN"/>
        </w:rPr>
        <w:t>5.1.</w:t>
      </w:r>
      <w:r>
        <w:rPr>
          <w:rFonts w:hint="eastAsia"/>
          <w:sz w:val="32"/>
          <w:szCs w:val="32"/>
          <w:lang w:val="en-US" w:eastAsia="zh-CN"/>
        </w:rPr>
        <w:t>拟</w:t>
      </w:r>
      <w:r>
        <w:rPr>
          <w:rFonts w:hint="default"/>
          <w:sz w:val="32"/>
          <w:szCs w:val="32"/>
          <w:lang w:val="en-US" w:eastAsia="zh-CN"/>
        </w:rPr>
        <w:t>安排的建设项目</w:t>
      </w:r>
      <w:bookmarkEnd w:id="34"/>
      <w:bookmarkEnd w:id="35"/>
      <w:bookmarkEnd w:id="36"/>
      <w:bookmarkEnd w:id="37"/>
    </w:p>
    <w:p w14:paraId="5CDC7B9A">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方案拟安排</w:t>
      </w:r>
      <w:r>
        <w:rPr>
          <w:rFonts w:hint="eastAsia" w:ascii="Times New Roman" w:hAnsi="Times New Roman" w:eastAsia="仿宋" w:cs="Times New Roman"/>
          <w:sz w:val="28"/>
          <w:szCs w:val="28"/>
          <w:highlight w:val="none"/>
          <w:lang w:val="en-US" w:eastAsia="zh-CN"/>
        </w:rPr>
        <w:t>的</w:t>
      </w:r>
      <w:r>
        <w:rPr>
          <w:rFonts w:hint="default" w:ascii="Times New Roman" w:hAnsi="Times New Roman" w:eastAsia="仿宋" w:cs="Times New Roman"/>
          <w:sz w:val="28"/>
          <w:szCs w:val="28"/>
          <w:highlight w:val="none"/>
          <w:lang w:val="en-US" w:eastAsia="zh-CN"/>
        </w:rPr>
        <w:t>建设项目共</w:t>
      </w:r>
      <w:r>
        <w:rPr>
          <w:rFonts w:hint="eastAsia" w:ascii="Times New Roman" w:hAnsi="Times New Roman" w:eastAsia="仿宋" w:cs="Times New Roman"/>
          <w:sz w:val="28"/>
          <w:szCs w:val="28"/>
          <w:highlight w:val="none"/>
          <w:lang w:val="en-US" w:eastAsia="zh-CN"/>
        </w:rPr>
        <w:t>9个，</w:t>
      </w:r>
      <w:r>
        <w:rPr>
          <w:rFonts w:hint="default" w:ascii="Times New Roman" w:hAnsi="Times New Roman" w:eastAsia="仿宋" w:cs="Times New Roman"/>
          <w:sz w:val="28"/>
          <w:szCs w:val="28"/>
          <w:highlight w:val="none"/>
          <w:lang w:val="en-US" w:eastAsia="zh-CN"/>
        </w:rPr>
        <w:t>其中商业服务业用地类项目</w:t>
      </w:r>
      <w:r>
        <w:rPr>
          <w:rFonts w:hint="eastAsia" w:ascii="Times New Roman" w:hAnsi="Times New Roman" w:eastAsia="仿宋" w:cs="Times New Roman"/>
          <w:sz w:val="28"/>
          <w:szCs w:val="28"/>
          <w:highlight w:val="none"/>
          <w:lang w:val="en-US" w:eastAsia="zh-CN"/>
        </w:rPr>
        <w:t>4个，仓储用地类项目1个，</w:t>
      </w:r>
      <w:r>
        <w:rPr>
          <w:rFonts w:hint="default" w:ascii="Times New Roman" w:hAnsi="Times New Roman" w:eastAsia="仿宋" w:cs="Times New Roman"/>
          <w:sz w:val="28"/>
          <w:szCs w:val="28"/>
          <w:highlight w:val="none"/>
          <w:lang w:val="en-US" w:eastAsia="zh-CN"/>
        </w:rPr>
        <w:t>工</w:t>
      </w:r>
      <w:r>
        <w:rPr>
          <w:rFonts w:hint="eastAsia" w:ascii="Times New Roman" w:hAnsi="Times New Roman" w:eastAsia="仿宋" w:cs="Times New Roman"/>
          <w:sz w:val="28"/>
          <w:szCs w:val="28"/>
          <w:highlight w:val="none"/>
          <w:lang w:val="en-US" w:eastAsia="zh-CN"/>
        </w:rPr>
        <w:t>业</w:t>
      </w:r>
      <w:r>
        <w:rPr>
          <w:rFonts w:hint="default" w:ascii="Times New Roman" w:hAnsi="Times New Roman" w:eastAsia="仿宋" w:cs="Times New Roman"/>
          <w:sz w:val="28"/>
          <w:szCs w:val="28"/>
          <w:highlight w:val="none"/>
          <w:lang w:val="en-US" w:eastAsia="zh-CN"/>
        </w:rPr>
        <w:t>用地类项目</w:t>
      </w:r>
      <w:r>
        <w:rPr>
          <w:rFonts w:hint="eastAsia"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个，</w:t>
      </w:r>
      <w:r>
        <w:rPr>
          <w:rFonts w:hint="default" w:ascii="Times New Roman" w:hAnsi="Times New Roman" w:eastAsia="仿宋" w:cs="Times New Roman"/>
          <w:sz w:val="28"/>
          <w:szCs w:val="32"/>
          <w:highlight w:val="none"/>
          <w:lang w:eastAsia="zh-CN" w:bidi="ar-SA"/>
        </w:rPr>
        <w:t>交通运输用地</w:t>
      </w:r>
      <w:r>
        <w:rPr>
          <w:rFonts w:hint="default" w:ascii="Times New Roman" w:hAnsi="Times New Roman" w:eastAsia="仿宋" w:cs="Times New Roman"/>
          <w:sz w:val="28"/>
          <w:szCs w:val="28"/>
          <w:highlight w:val="none"/>
          <w:lang w:val="en-US" w:eastAsia="zh-CN"/>
        </w:rPr>
        <w:t>类项目</w:t>
      </w:r>
      <w:r>
        <w:rPr>
          <w:rFonts w:hint="eastAsia"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t>个。</w:t>
      </w:r>
    </w:p>
    <w:p w14:paraId="37FE0624">
      <w:pPr>
        <w:pStyle w:val="3"/>
        <w:numPr>
          <w:ilvl w:val="1"/>
          <w:numId w:val="0"/>
        </w:numPr>
        <w:tabs>
          <w:tab w:val="clear" w:pos="420"/>
        </w:tabs>
        <w:bidi w:val="0"/>
        <w:ind w:left="575" w:leftChars="0" w:hanging="575" w:firstLineChars="0"/>
        <w:rPr>
          <w:rFonts w:hint="default"/>
          <w:sz w:val="32"/>
          <w:szCs w:val="32"/>
          <w:lang w:val="en-US" w:eastAsia="zh-CN"/>
        </w:rPr>
      </w:pPr>
      <w:bookmarkStart w:id="38" w:name="_Toc1604"/>
      <w:bookmarkStart w:id="39" w:name="_Toc3107"/>
      <w:bookmarkStart w:id="40" w:name="_Toc15302"/>
      <w:bookmarkStart w:id="41" w:name="_Toc17978"/>
      <w:r>
        <w:rPr>
          <w:rFonts w:hint="eastAsia" w:ascii="Times New Roman" w:hAnsi="Times New Roman" w:eastAsia="仿宋" w:cs="Times New Roman"/>
          <w:b/>
          <w:bCs/>
          <w:kern w:val="2"/>
          <w:sz w:val="32"/>
          <w:szCs w:val="32"/>
          <w:lang w:val="en-US" w:eastAsia="zh-CN"/>
        </w:rPr>
        <w:t>5.2.</w:t>
      </w:r>
      <w:r>
        <w:rPr>
          <w:rFonts w:hint="default"/>
          <w:sz w:val="32"/>
          <w:szCs w:val="32"/>
          <w:lang w:val="en-US" w:eastAsia="zh-CN"/>
        </w:rPr>
        <w:t>开发时序</w:t>
      </w:r>
      <w:bookmarkEnd w:id="38"/>
      <w:bookmarkEnd w:id="39"/>
      <w:bookmarkEnd w:id="40"/>
      <w:bookmarkEnd w:id="41"/>
    </w:p>
    <w:p w14:paraId="433EF255">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sz w:val="28"/>
          <w:szCs w:val="28"/>
          <w:highlight w:val="none"/>
          <w:lang w:val="en-US" w:eastAsia="zh-CN"/>
        </w:rPr>
        <w:t>统筹考虑资源禀赋、基础设施情况、征收难度、融资情况、建设计划等因素，综合研究项目开发时序。</w:t>
      </w: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方案拟定建设项目开发时序为</w:t>
      </w:r>
      <w:r>
        <w:rPr>
          <w:rFonts w:hint="eastAsia" w:ascii="Times New Roman" w:hAnsi="Times New Roman" w:eastAsia="仿宋" w:cs="Times New Roman"/>
          <w:color w:val="auto"/>
          <w:sz w:val="28"/>
          <w:szCs w:val="28"/>
          <w:highlight w:val="none"/>
          <w:lang w:val="en-US" w:eastAsia="zh-CN"/>
        </w:rPr>
        <w:t>2025年，即2025年启动9个项目的土地征收工作</w:t>
      </w:r>
      <w:r>
        <w:rPr>
          <w:rFonts w:hint="default" w:ascii="Times New Roman" w:hAnsi="Times New Roman" w:eastAsia="仿宋" w:cs="Times New Roman"/>
          <w:color w:val="auto"/>
          <w:sz w:val="28"/>
          <w:szCs w:val="28"/>
          <w:highlight w:val="none"/>
          <w:lang w:val="en-US" w:eastAsia="zh-CN"/>
        </w:rPr>
        <w:t>。</w:t>
      </w:r>
    </w:p>
    <w:p w14:paraId="6931CBD0">
      <w:pPr>
        <w:pStyle w:val="3"/>
        <w:numPr>
          <w:ilvl w:val="1"/>
          <w:numId w:val="0"/>
        </w:numPr>
        <w:tabs>
          <w:tab w:val="clear" w:pos="420"/>
        </w:tabs>
        <w:bidi w:val="0"/>
        <w:ind w:left="575" w:leftChars="0" w:hanging="575" w:firstLineChars="0"/>
        <w:rPr>
          <w:rFonts w:hint="default"/>
          <w:sz w:val="32"/>
          <w:szCs w:val="32"/>
          <w:lang w:val="en-US" w:eastAsia="zh-CN"/>
        </w:rPr>
      </w:pPr>
      <w:bookmarkStart w:id="42" w:name="_Toc29461"/>
      <w:r>
        <w:rPr>
          <w:rFonts w:hint="eastAsia" w:ascii="Times New Roman" w:hAnsi="Times New Roman" w:eastAsia="仿宋" w:cs="Times New Roman"/>
          <w:b/>
          <w:bCs/>
          <w:kern w:val="2"/>
          <w:sz w:val="32"/>
          <w:szCs w:val="32"/>
          <w:lang w:val="en-US" w:eastAsia="zh-CN"/>
        </w:rPr>
        <w:t>5.3.</w:t>
      </w:r>
      <w:r>
        <w:rPr>
          <w:rFonts w:hint="default"/>
          <w:sz w:val="32"/>
          <w:szCs w:val="32"/>
          <w:lang w:val="en-US" w:eastAsia="zh-CN"/>
        </w:rPr>
        <w:t>年度实施计划</w:t>
      </w:r>
      <w:bookmarkEnd w:id="42"/>
    </w:p>
    <w:p w14:paraId="50982C09">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具体年度实施计划安排如下：</w:t>
      </w:r>
      <w:r>
        <w:rPr>
          <w:rFonts w:hint="eastAsia" w:ascii="Times New Roman" w:hAnsi="Times New Roman" w:eastAsia="仿宋" w:cs="Times New Roman"/>
          <w:sz w:val="28"/>
          <w:szCs w:val="28"/>
          <w:highlight w:val="none"/>
          <w:lang w:val="en-US" w:eastAsia="zh-CN"/>
        </w:rPr>
        <w:t>2025年计划实施9个项目的征收工作，拟征收45.9447公顷</w:t>
      </w:r>
      <w:r>
        <w:rPr>
          <w:rFonts w:hint="default" w:ascii="Times New Roman" w:hAnsi="Times New Roman" w:eastAsia="仿宋" w:cs="Times New Roman"/>
          <w:sz w:val="28"/>
          <w:szCs w:val="28"/>
          <w:highlight w:val="none"/>
          <w:lang w:val="en-US" w:eastAsia="zh-CN"/>
        </w:rPr>
        <w:t>。见</w:t>
      </w:r>
      <w:r>
        <w:rPr>
          <w:rFonts w:hint="eastAsia" w:ascii="Times New Roman" w:hAnsi="Times New Roman" w:eastAsia="仿宋" w:cs="Times New Roman"/>
          <w:sz w:val="28"/>
          <w:szCs w:val="28"/>
          <w:highlight w:val="none"/>
          <w:lang w:val="en-US" w:eastAsia="zh-CN"/>
        </w:rPr>
        <w:t>下</w:t>
      </w:r>
      <w:r>
        <w:rPr>
          <w:rFonts w:hint="default" w:ascii="Times New Roman" w:hAnsi="Times New Roman" w:eastAsia="仿宋" w:cs="Times New Roman"/>
          <w:sz w:val="28"/>
          <w:szCs w:val="28"/>
          <w:highlight w:val="none"/>
          <w:lang w:val="en-US" w:eastAsia="zh-CN"/>
        </w:rPr>
        <w:t>表。</w:t>
      </w:r>
    </w:p>
    <w:p w14:paraId="0FA5A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表</w:t>
      </w:r>
      <w:r>
        <w:rPr>
          <w:rFonts w:hint="eastAsia" w:ascii="Times New Roman" w:hAnsi="Times New Roman" w:eastAsia="仿宋" w:cs="Times New Roman"/>
          <w:sz w:val="24"/>
          <w:szCs w:val="24"/>
          <w:highlight w:val="none"/>
          <w:lang w:val="en-US" w:eastAsia="zh-CN" w:bidi="ar-SA"/>
        </w:rPr>
        <w:t>5-1</w:t>
      </w:r>
      <w:r>
        <w:rPr>
          <w:rFonts w:hint="default" w:ascii="Times New Roman" w:hAnsi="Times New Roman" w:eastAsia="仿宋" w:cs="Times New Roman"/>
          <w:sz w:val="24"/>
          <w:szCs w:val="24"/>
          <w:highlight w:val="none"/>
          <w:lang w:val="en-US" w:eastAsia="zh-CN" w:bidi="ar-SA"/>
        </w:rPr>
        <w:t xml:space="preserve"> 开发时序情况表</w:t>
      </w:r>
    </w:p>
    <w:p w14:paraId="67D39296">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87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6"/>
        <w:gridCol w:w="1322"/>
        <w:gridCol w:w="638"/>
        <w:gridCol w:w="3535"/>
        <w:gridCol w:w="1260"/>
        <w:gridCol w:w="1268"/>
      </w:tblGrid>
      <w:tr w14:paraId="10E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6" w:type="dxa"/>
            <w:shd w:val="clear" w:color="auto" w:fill="auto"/>
            <w:noWrap/>
            <w:vAlign w:val="center"/>
          </w:tcPr>
          <w:p w14:paraId="2177814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片区编号</w:t>
            </w:r>
          </w:p>
        </w:tc>
        <w:tc>
          <w:tcPr>
            <w:tcW w:w="1322" w:type="dxa"/>
            <w:shd w:val="clear" w:color="auto" w:fill="auto"/>
            <w:noWrap/>
            <w:vAlign w:val="center"/>
          </w:tcPr>
          <w:p w14:paraId="30D9811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片区名称</w:t>
            </w:r>
          </w:p>
        </w:tc>
        <w:tc>
          <w:tcPr>
            <w:tcW w:w="638" w:type="dxa"/>
            <w:shd w:val="clear" w:color="auto" w:fill="auto"/>
            <w:noWrap/>
            <w:vAlign w:val="center"/>
          </w:tcPr>
          <w:p w14:paraId="2A0A17A9">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项目编号</w:t>
            </w:r>
          </w:p>
        </w:tc>
        <w:tc>
          <w:tcPr>
            <w:tcW w:w="3535" w:type="dxa"/>
            <w:shd w:val="clear" w:color="auto" w:fill="auto"/>
            <w:noWrap/>
            <w:vAlign w:val="center"/>
          </w:tcPr>
          <w:p w14:paraId="4048BF2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建设项目</w:t>
            </w:r>
          </w:p>
        </w:tc>
        <w:tc>
          <w:tcPr>
            <w:tcW w:w="1260" w:type="dxa"/>
            <w:shd w:val="clear" w:color="auto" w:fill="auto"/>
            <w:noWrap/>
            <w:vAlign w:val="center"/>
          </w:tcPr>
          <w:p w14:paraId="4A3ACA3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实施年度</w:t>
            </w:r>
          </w:p>
        </w:tc>
        <w:tc>
          <w:tcPr>
            <w:tcW w:w="1268" w:type="dxa"/>
            <w:shd w:val="clear" w:color="auto" w:fill="auto"/>
            <w:noWrap/>
            <w:vAlign w:val="center"/>
          </w:tcPr>
          <w:p w14:paraId="2434FF1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项目面积</w:t>
            </w:r>
          </w:p>
        </w:tc>
      </w:tr>
      <w:tr w14:paraId="0C6A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6A5076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322" w:type="dxa"/>
            <w:shd w:val="clear" w:color="auto" w:fill="auto"/>
            <w:noWrap/>
            <w:vAlign w:val="bottom"/>
          </w:tcPr>
          <w:p w14:paraId="1D33C6D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三甲南片区</w:t>
            </w:r>
          </w:p>
        </w:tc>
        <w:tc>
          <w:tcPr>
            <w:tcW w:w="638" w:type="dxa"/>
            <w:shd w:val="clear" w:color="auto" w:fill="auto"/>
            <w:noWrap/>
            <w:vAlign w:val="center"/>
          </w:tcPr>
          <w:p w14:paraId="4D0D5F5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3535" w:type="dxa"/>
            <w:shd w:val="clear" w:color="auto" w:fill="auto"/>
            <w:noWrap/>
            <w:vAlign w:val="center"/>
          </w:tcPr>
          <w:p w14:paraId="4277D42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众禾周边地块统征出让</w:t>
            </w:r>
          </w:p>
        </w:tc>
        <w:tc>
          <w:tcPr>
            <w:tcW w:w="1260" w:type="dxa"/>
            <w:shd w:val="clear" w:color="auto" w:fill="auto"/>
            <w:noWrap/>
            <w:vAlign w:val="center"/>
          </w:tcPr>
          <w:p w14:paraId="6F305B2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ED778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4.2527 </w:t>
            </w:r>
          </w:p>
        </w:tc>
      </w:tr>
      <w:tr w14:paraId="0B95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restart"/>
            <w:shd w:val="clear" w:color="auto" w:fill="auto"/>
            <w:noWrap/>
            <w:vAlign w:val="center"/>
          </w:tcPr>
          <w:p w14:paraId="3BEB6CC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322" w:type="dxa"/>
            <w:vMerge w:val="restart"/>
            <w:shd w:val="clear" w:color="auto" w:fill="auto"/>
            <w:noWrap/>
            <w:vAlign w:val="bottom"/>
          </w:tcPr>
          <w:p w14:paraId="1D2A1F5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米山北工业片区</w:t>
            </w:r>
          </w:p>
        </w:tc>
        <w:tc>
          <w:tcPr>
            <w:tcW w:w="638" w:type="dxa"/>
            <w:shd w:val="clear" w:color="auto" w:fill="auto"/>
            <w:noWrap/>
            <w:vAlign w:val="center"/>
          </w:tcPr>
          <w:p w14:paraId="231F18A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3535" w:type="dxa"/>
            <w:shd w:val="clear" w:color="auto" w:fill="auto"/>
            <w:noWrap/>
            <w:vAlign w:val="center"/>
          </w:tcPr>
          <w:p w14:paraId="1D0C1F2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C17B3B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5A2A966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11.1986 </w:t>
            </w:r>
          </w:p>
        </w:tc>
      </w:tr>
      <w:tr w14:paraId="1E55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continue"/>
            <w:shd w:val="clear" w:color="auto" w:fill="auto"/>
            <w:noWrap/>
            <w:vAlign w:val="bottom"/>
          </w:tcPr>
          <w:p w14:paraId="64A0F45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1322" w:type="dxa"/>
            <w:vMerge w:val="continue"/>
            <w:shd w:val="clear" w:color="auto" w:fill="auto"/>
            <w:noWrap/>
            <w:vAlign w:val="bottom"/>
          </w:tcPr>
          <w:p w14:paraId="1A8D343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638" w:type="dxa"/>
            <w:shd w:val="clear" w:color="auto" w:fill="auto"/>
            <w:noWrap/>
            <w:vAlign w:val="center"/>
          </w:tcPr>
          <w:p w14:paraId="23546D4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3</w:t>
            </w:r>
          </w:p>
        </w:tc>
        <w:tc>
          <w:tcPr>
            <w:tcW w:w="3535" w:type="dxa"/>
            <w:shd w:val="clear" w:color="auto" w:fill="auto"/>
            <w:noWrap/>
            <w:vAlign w:val="center"/>
          </w:tcPr>
          <w:p w14:paraId="4983DB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1F59C48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181B308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22.8887 </w:t>
            </w:r>
          </w:p>
        </w:tc>
      </w:tr>
      <w:tr w14:paraId="1E2B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065E317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1322" w:type="dxa"/>
            <w:shd w:val="clear" w:color="auto" w:fill="auto"/>
            <w:noWrap/>
            <w:vAlign w:val="bottom"/>
          </w:tcPr>
          <w:p w14:paraId="40600327">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米山道路片区</w:t>
            </w:r>
          </w:p>
        </w:tc>
        <w:tc>
          <w:tcPr>
            <w:tcW w:w="638" w:type="dxa"/>
            <w:shd w:val="clear" w:color="auto" w:fill="auto"/>
            <w:noWrap/>
            <w:vAlign w:val="center"/>
          </w:tcPr>
          <w:p w14:paraId="3968DB9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3535" w:type="dxa"/>
            <w:shd w:val="clear" w:color="auto" w:fill="auto"/>
            <w:noWrap/>
            <w:vAlign w:val="center"/>
          </w:tcPr>
          <w:p w14:paraId="4740EEE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兴园东路</w:t>
            </w:r>
          </w:p>
        </w:tc>
        <w:tc>
          <w:tcPr>
            <w:tcW w:w="1260" w:type="dxa"/>
            <w:shd w:val="clear" w:color="auto" w:fill="auto"/>
            <w:noWrap/>
            <w:vAlign w:val="center"/>
          </w:tcPr>
          <w:p w14:paraId="3856446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CC183B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2.0440 </w:t>
            </w:r>
          </w:p>
        </w:tc>
      </w:tr>
      <w:tr w14:paraId="4FB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6024AD6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1322" w:type="dxa"/>
            <w:shd w:val="clear" w:color="auto" w:fill="auto"/>
            <w:noWrap/>
            <w:vAlign w:val="bottom"/>
          </w:tcPr>
          <w:p w14:paraId="0AAC9CF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高铁新区A片区</w:t>
            </w:r>
          </w:p>
        </w:tc>
        <w:tc>
          <w:tcPr>
            <w:tcW w:w="638" w:type="dxa"/>
            <w:shd w:val="clear" w:color="auto" w:fill="auto"/>
            <w:noWrap/>
            <w:vAlign w:val="center"/>
          </w:tcPr>
          <w:p w14:paraId="1845280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3535" w:type="dxa"/>
            <w:shd w:val="clear" w:color="auto" w:fill="auto"/>
            <w:noWrap/>
            <w:vAlign w:val="center"/>
          </w:tcPr>
          <w:p w14:paraId="7758B75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凯永饲料西侧（高铁新区统征商住）</w:t>
            </w:r>
          </w:p>
        </w:tc>
        <w:tc>
          <w:tcPr>
            <w:tcW w:w="1260" w:type="dxa"/>
            <w:shd w:val="clear" w:color="auto" w:fill="auto"/>
            <w:noWrap/>
            <w:vAlign w:val="center"/>
          </w:tcPr>
          <w:p w14:paraId="303D743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4FC640F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0.3405 </w:t>
            </w:r>
          </w:p>
        </w:tc>
      </w:tr>
      <w:tr w14:paraId="41F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50A8D7D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22" w:type="dxa"/>
            <w:shd w:val="clear" w:color="auto" w:fill="auto"/>
            <w:noWrap/>
            <w:vAlign w:val="bottom"/>
          </w:tcPr>
          <w:p w14:paraId="69B5171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苏庄商业片区1</w:t>
            </w:r>
          </w:p>
        </w:tc>
        <w:tc>
          <w:tcPr>
            <w:tcW w:w="638" w:type="dxa"/>
            <w:shd w:val="clear" w:color="auto" w:fill="auto"/>
            <w:noWrap/>
            <w:vAlign w:val="center"/>
          </w:tcPr>
          <w:p w14:paraId="1969692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3535" w:type="dxa"/>
            <w:shd w:val="clear" w:color="auto" w:fill="auto"/>
            <w:noWrap/>
            <w:vAlign w:val="center"/>
          </w:tcPr>
          <w:p w14:paraId="489D917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191F57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948F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2.6647 </w:t>
            </w:r>
          </w:p>
        </w:tc>
      </w:tr>
      <w:tr w14:paraId="3EC9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7F055F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22" w:type="dxa"/>
            <w:shd w:val="clear" w:color="auto" w:fill="auto"/>
            <w:noWrap/>
            <w:vAlign w:val="bottom"/>
          </w:tcPr>
          <w:p w14:paraId="0FABB56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苏庄商业片区2</w:t>
            </w:r>
          </w:p>
        </w:tc>
        <w:tc>
          <w:tcPr>
            <w:tcW w:w="638" w:type="dxa"/>
            <w:shd w:val="clear" w:color="auto" w:fill="auto"/>
            <w:noWrap/>
            <w:vAlign w:val="center"/>
          </w:tcPr>
          <w:p w14:paraId="6B0E302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3535" w:type="dxa"/>
            <w:shd w:val="clear" w:color="auto" w:fill="auto"/>
            <w:noWrap/>
            <w:vAlign w:val="center"/>
          </w:tcPr>
          <w:p w14:paraId="19C0222B">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600A9A9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4D9B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0.1527 </w:t>
            </w:r>
          </w:p>
        </w:tc>
      </w:tr>
      <w:tr w14:paraId="4CCB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3EC758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1322" w:type="dxa"/>
            <w:shd w:val="clear" w:color="auto" w:fill="auto"/>
            <w:noWrap/>
            <w:vAlign w:val="bottom"/>
          </w:tcPr>
          <w:p w14:paraId="2BAA8A2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许庄物流片区</w:t>
            </w:r>
          </w:p>
        </w:tc>
        <w:tc>
          <w:tcPr>
            <w:tcW w:w="638" w:type="dxa"/>
            <w:shd w:val="clear" w:color="auto" w:fill="auto"/>
            <w:noWrap/>
            <w:vAlign w:val="center"/>
          </w:tcPr>
          <w:p w14:paraId="24B021B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3535" w:type="dxa"/>
            <w:shd w:val="clear" w:color="auto" w:fill="auto"/>
            <w:noWrap/>
            <w:vAlign w:val="center"/>
          </w:tcPr>
          <w:p w14:paraId="74E3163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太行润源北侧</w:t>
            </w:r>
          </w:p>
        </w:tc>
        <w:tc>
          <w:tcPr>
            <w:tcW w:w="1260" w:type="dxa"/>
            <w:shd w:val="clear" w:color="auto" w:fill="auto"/>
            <w:noWrap/>
            <w:vAlign w:val="center"/>
          </w:tcPr>
          <w:p w14:paraId="36AD945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0B7697B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2.1951 </w:t>
            </w:r>
          </w:p>
        </w:tc>
      </w:tr>
      <w:tr w14:paraId="37A9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22B341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1322" w:type="dxa"/>
            <w:shd w:val="clear" w:color="auto" w:fill="auto"/>
            <w:noWrap/>
            <w:vAlign w:val="bottom"/>
          </w:tcPr>
          <w:p w14:paraId="0C17F00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建宁商业片区</w:t>
            </w:r>
          </w:p>
        </w:tc>
        <w:tc>
          <w:tcPr>
            <w:tcW w:w="638" w:type="dxa"/>
            <w:shd w:val="clear" w:color="auto" w:fill="auto"/>
            <w:noWrap/>
            <w:vAlign w:val="center"/>
          </w:tcPr>
          <w:p w14:paraId="754D55D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w:t>
            </w:r>
          </w:p>
        </w:tc>
        <w:tc>
          <w:tcPr>
            <w:tcW w:w="3535" w:type="dxa"/>
            <w:shd w:val="clear" w:color="auto" w:fill="auto"/>
            <w:noWrap/>
            <w:vAlign w:val="center"/>
          </w:tcPr>
          <w:p w14:paraId="71B5659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建宁乡统征出让加油站项目2025</w:t>
            </w:r>
          </w:p>
        </w:tc>
        <w:tc>
          <w:tcPr>
            <w:tcW w:w="1260" w:type="dxa"/>
            <w:shd w:val="clear" w:color="auto" w:fill="auto"/>
            <w:noWrap/>
            <w:vAlign w:val="center"/>
          </w:tcPr>
          <w:p w14:paraId="76CB30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D8EFC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0.2077 </w:t>
            </w:r>
          </w:p>
        </w:tc>
      </w:tr>
      <w:tr w14:paraId="29F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1" w:type="dxa"/>
            <w:gridSpan w:val="5"/>
            <w:shd w:val="clear" w:color="auto" w:fill="auto"/>
            <w:noWrap/>
            <w:vAlign w:val="center"/>
          </w:tcPr>
          <w:p w14:paraId="52B36ED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合计</w:t>
            </w:r>
          </w:p>
        </w:tc>
        <w:tc>
          <w:tcPr>
            <w:tcW w:w="1268" w:type="dxa"/>
            <w:shd w:val="clear" w:color="auto" w:fill="auto"/>
            <w:noWrap/>
            <w:vAlign w:val="center"/>
          </w:tcPr>
          <w:p w14:paraId="6922595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45.9447</w:t>
            </w:r>
          </w:p>
        </w:tc>
      </w:tr>
    </w:tbl>
    <w:p w14:paraId="3A916A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sz w:val="24"/>
          <w:szCs w:val="24"/>
          <w:highlight w:val="none"/>
          <w:lang w:val="en-US" w:eastAsia="zh-CN" w:bidi="ar-SA"/>
        </w:rPr>
      </w:pPr>
    </w:p>
    <w:p w14:paraId="428330F4">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sectPr>
          <w:footerReference r:id="rId6"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4A44E32">
      <w:pPr>
        <w:pStyle w:val="2"/>
        <w:numPr>
          <w:ilvl w:val="0"/>
          <w:numId w:val="0"/>
        </w:numPr>
        <w:bidi w:val="0"/>
        <w:ind w:left="432" w:leftChars="0" w:hanging="432" w:firstLineChars="0"/>
        <w:jc w:val="both"/>
        <w:rPr>
          <w:rFonts w:hint="default"/>
          <w:sz w:val="40"/>
          <w:szCs w:val="40"/>
        </w:rPr>
      </w:pPr>
      <w:bookmarkStart w:id="43" w:name="_Toc23746"/>
      <w:r>
        <w:rPr>
          <w:rFonts w:hint="default" w:ascii="Times New Roman" w:hAnsi="Times New Roman" w:eastAsia="仿宋" w:cs="Times New Roman"/>
          <w:b/>
          <w:bCs/>
          <w:kern w:val="44"/>
          <w:sz w:val="40"/>
          <w:szCs w:val="40"/>
          <w:lang w:val="en-US" w:eastAsia="zh-CN"/>
        </w:rPr>
        <w:t>6.</w:t>
      </w:r>
      <w:r>
        <w:rPr>
          <w:rFonts w:hint="default"/>
          <w:sz w:val="40"/>
          <w:szCs w:val="40"/>
        </w:rPr>
        <w:t>合规性分析</w:t>
      </w:r>
      <w:bookmarkEnd w:id="43"/>
    </w:p>
    <w:p w14:paraId="19C344F9">
      <w:pPr>
        <w:pStyle w:val="3"/>
        <w:numPr>
          <w:ilvl w:val="1"/>
          <w:numId w:val="0"/>
        </w:numPr>
        <w:tabs>
          <w:tab w:val="clear" w:pos="420"/>
        </w:tabs>
        <w:bidi w:val="0"/>
        <w:ind w:left="575" w:leftChars="0" w:hanging="575" w:firstLineChars="0"/>
        <w:rPr>
          <w:rFonts w:hint="default"/>
          <w:sz w:val="32"/>
          <w:szCs w:val="32"/>
        </w:rPr>
      </w:pPr>
      <w:bookmarkStart w:id="44" w:name="_Toc30883"/>
      <w:r>
        <w:rPr>
          <w:rFonts w:hint="eastAsia" w:ascii="Times New Roman" w:hAnsi="Times New Roman" w:eastAsia="仿宋" w:cs="Times New Roman"/>
          <w:b/>
          <w:bCs/>
          <w:kern w:val="2"/>
          <w:sz w:val="32"/>
          <w:szCs w:val="32"/>
          <w:lang w:val="en-US" w:eastAsia="zh-CN"/>
        </w:rPr>
        <w:t>6.1.</w:t>
      </w:r>
      <w:r>
        <w:rPr>
          <w:rFonts w:hint="eastAsia"/>
          <w:sz w:val="32"/>
          <w:szCs w:val="32"/>
          <w:lang w:val="en-US" w:eastAsia="zh-CN"/>
        </w:rPr>
        <w:t>与</w:t>
      </w:r>
      <w:r>
        <w:rPr>
          <w:rFonts w:hint="default"/>
          <w:sz w:val="32"/>
          <w:szCs w:val="32"/>
        </w:rPr>
        <w:t>国土空间规划</w:t>
      </w:r>
      <w:r>
        <w:rPr>
          <w:rFonts w:hint="eastAsia"/>
          <w:sz w:val="32"/>
          <w:szCs w:val="32"/>
          <w:lang w:val="en-US" w:eastAsia="zh-CN"/>
        </w:rPr>
        <w:t>符合性分析</w:t>
      </w:r>
      <w:bookmarkEnd w:id="44"/>
    </w:p>
    <w:p w14:paraId="56D969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kern w:val="2"/>
          <w:sz w:val="28"/>
          <w:szCs w:val="32"/>
          <w:lang w:val="en-US" w:eastAsia="zh-CN" w:bidi="ar-SA"/>
        </w:rPr>
      </w:pPr>
      <w:bookmarkStart w:id="45" w:name="_Hlk100822022"/>
      <w:r>
        <w:rPr>
          <w:rFonts w:hint="default" w:ascii="Times New Roman" w:hAnsi="Times New Roman" w:eastAsia="仿宋" w:cs="Times New Roman"/>
          <w:kern w:val="2"/>
          <w:sz w:val="28"/>
          <w:szCs w:val="32"/>
          <w:lang w:val="en-US" w:eastAsia="zh-CN" w:bidi="ar-SA"/>
        </w:rPr>
        <w:t>本方案</w:t>
      </w:r>
      <w:r>
        <w:rPr>
          <w:rFonts w:hint="eastAsia" w:ascii="Times New Roman" w:hAnsi="Times New Roman" w:eastAsia="仿宋" w:cs="Times New Roman"/>
          <w:kern w:val="2"/>
          <w:sz w:val="28"/>
          <w:szCs w:val="32"/>
          <w:lang w:val="en-US" w:eastAsia="zh-CN" w:bidi="ar-SA"/>
        </w:rPr>
        <w:t>成片开发范围</w:t>
      </w:r>
      <w:r>
        <w:rPr>
          <w:rFonts w:hint="default" w:ascii="Times New Roman" w:hAnsi="Times New Roman" w:eastAsia="仿宋" w:cs="Times New Roman"/>
          <w:kern w:val="2"/>
          <w:sz w:val="28"/>
          <w:szCs w:val="32"/>
          <w:lang w:val="en-US" w:eastAsia="zh-CN" w:bidi="ar-SA"/>
        </w:rPr>
        <w:t>均位于</w:t>
      </w:r>
      <w:r>
        <w:rPr>
          <w:rFonts w:hint="eastAsia" w:ascii="Times New Roman" w:hAnsi="Times New Roman" w:eastAsia="仿宋" w:cs="Times New Roman"/>
          <w:kern w:val="2"/>
          <w:sz w:val="28"/>
          <w:szCs w:val="32"/>
          <w:lang w:val="en-US" w:eastAsia="zh-CN" w:bidi="ar-SA"/>
        </w:rPr>
        <w:t>国土空间规划确定的城镇建设用地范围</w:t>
      </w:r>
      <w:r>
        <w:rPr>
          <w:rFonts w:hint="default" w:ascii="Times New Roman" w:hAnsi="Times New Roman" w:eastAsia="仿宋" w:cs="Times New Roman"/>
          <w:kern w:val="2"/>
          <w:sz w:val="28"/>
          <w:szCs w:val="32"/>
          <w:lang w:val="en-US" w:eastAsia="zh-CN" w:bidi="ar-SA"/>
        </w:rPr>
        <w:t>内</w:t>
      </w:r>
      <w:bookmarkEnd w:id="45"/>
      <w:r>
        <w:rPr>
          <w:rFonts w:hint="default" w:ascii="Times New Roman" w:hAnsi="Times New Roman" w:eastAsia="仿宋" w:cs="Times New Roman"/>
          <w:kern w:val="2"/>
          <w:sz w:val="28"/>
          <w:szCs w:val="32"/>
          <w:lang w:val="en-US" w:eastAsia="zh-CN" w:bidi="ar-SA"/>
        </w:rPr>
        <w:t>，不</w:t>
      </w:r>
      <w:r>
        <w:rPr>
          <w:rFonts w:hint="eastAsia" w:ascii="Times New Roman" w:hAnsi="Times New Roman" w:eastAsia="仿宋" w:cs="Times New Roman"/>
          <w:kern w:val="2"/>
          <w:sz w:val="28"/>
          <w:szCs w:val="32"/>
          <w:lang w:val="en-US" w:eastAsia="zh-CN" w:bidi="ar-SA"/>
        </w:rPr>
        <w:t>涉及</w:t>
      </w:r>
      <w:r>
        <w:rPr>
          <w:rFonts w:hint="default" w:ascii="Times New Roman" w:hAnsi="Times New Roman" w:eastAsia="仿宋" w:cs="Times New Roman"/>
          <w:kern w:val="2"/>
          <w:sz w:val="28"/>
          <w:szCs w:val="32"/>
          <w:lang w:val="en-US" w:eastAsia="zh-CN" w:bidi="ar-SA"/>
        </w:rPr>
        <w:t>永久基本农田、不涉及生态保护红线</w:t>
      </w:r>
      <w:r>
        <w:rPr>
          <w:rFonts w:hint="eastAsia" w:ascii="Times New Roman" w:hAnsi="Times New Roman" w:eastAsia="仿宋" w:cs="Times New Roman"/>
          <w:kern w:val="2"/>
          <w:sz w:val="28"/>
          <w:szCs w:val="32"/>
          <w:lang w:val="en-US" w:eastAsia="zh-CN" w:bidi="ar-SA"/>
        </w:rPr>
        <w:t>，</w:t>
      </w:r>
      <w:r>
        <w:rPr>
          <w:rFonts w:hint="default" w:ascii="Times New Roman" w:hAnsi="Times New Roman" w:eastAsia="仿宋" w:cs="Times New Roman"/>
          <w:kern w:val="2"/>
          <w:sz w:val="28"/>
          <w:szCs w:val="32"/>
          <w:lang w:val="en-US" w:eastAsia="zh-CN" w:bidi="ar-SA"/>
        </w:rPr>
        <w:t>符合</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及《山西省土地征收成片开发标准实施细则》（晋自然资发〔2024〕18号）</w:t>
      </w:r>
      <w:r>
        <w:rPr>
          <w:rFonts w:hint="eastAsia" w:ascii="Times New Roman" w:hAnsi="Times New Roman" w:eastAsia="仿宋" w:cs="Times New Roman"/>
          <w:sz w:val="28"/>
          <w:szCs w:val="32"/>
          <w:lang w:val="en-US" w:eastAsia="zh-CN" w:bidi="ar-SA"/>
        </w:rPr>
        <w:t>的</w:t>
      </w:r>
      <w:r>
        <w:rPr>
          <w:rFonts w:hint="default" w:ascii="Times New Roman" w:hAnsi="Times New Roman" w:eastAsia="仿宋" w:cs="Times New Roman"/>
          <w:kern w:val="2"/>
          <w:sz w:val="28"/>
          <w:szCs w:val="32"/>
          <w:lang w:val="en-US" w:eastAsia="zh-CN" w:bidi="ar-SA"/>
        </w:rPr>
        <w:t>相关规定</w:t>
      </w:r>
      <w:r>
        <w:rPr>
          <w:rFonts w:hint="eastAsia" w:ascii="Times New Roman" w:hAnsi="Times New Roman" w:eastAsia="仿宋" w:cs="Times New Roman"/>
          <w:kern w:val="2"/>
          <w:sz w:val="28"/>
          <w:szCs w:val="32"/>
          <w:lang w:val="en-US" w:eastAsia="zh-CN" w:bidi="ar-SA"/>
        </w:rPr>
        <w:t>，与高平市国土空间规划相符</w:t>
      </w:r>
      <w:r>
        <w:rPr>
          <w:rFonts w:hint="default" w:ascii="Times New Roman" w:hAnsi="Times New Roman" w:eastAsia="仿宋" w:cs="Times New Roman"/>
          <w:kern w:val="2"/>
          <w:sz w:val="28"/>
          <w:szCs w:val="32"/>
          <w:lang w:val="en-US" w:eastAsia="zh-CN" w:bidi="ar-SA"/>
        </w:rPr>
        <w:t>。</w:t>
      </w:r>
    </w:p>
    <w:p w14:paraId="123D0600">
      <w:pPr>
        <w:pStyle w:val="3"/>
        <w:numPr>
          <w:ilvl w:val="1"/>
          <w:numId w:val="0"/>
        </w:numPr>
        <w:tabs>
          <w:tab w:val="clear" w:pos="420"/>
        </w:tabs>
        <w:bidi w:val="0"/>
        <w:ind w:left="575" w:leftChars="0" w:hanging="575" w:firstLineChars="0"/>
        <w:rPr>
          <w:rFonts w:hint="default"/>
          <w:sz w:val="32"/>
          <w:szCs w:val="32"/>
        </w:rPr>
      </w:pPr>
      <w:bookmarkStart w:id="46" w:name="_Toc15606"/>
      <w:r>
        <w:rPr>
          <w:rFonts w:hint="eastAsia" w:ascii="Times New Roman" w:hAnsi="Times New Roman" w:eastAsia="仿宋" w:cs="Times New Roman"/>
          <w:b/>
          <w:bCs/>
          <w:kern w:val="2"/>
          <w:sz w:val="32"/>
          <w:szCs w:val="32"/>
          <w:lang w:val="en-US" w:eastAsia="zh-CN"/>
        </w:rPr>
        <w:t>6.2.</w:t>
      </w:r>
      <w:r>
        <w:rPr>
          <w:rFonts w:hint="eastAsia"/>
          <w:sz w:val="32"/>
          <w:szCs w:val="32"/>
          <w:lang w:val="en-US" w:eastAsia="zh-CN"/>
        </w:rPr>
        <w:t>与</w:t>
      </w:r>
      <w:r>
        <w:rPr>
          <w:rFonts w:hint="default"/>
          <w:sz w:val="32"/>
          <w:szCs w:val="32"/>
        </w:rPr>
        <w:t>国民经济和社会发展规划</w:t>
      </w:r>
      <w:r>
        <w:rPr>
          <w:rFonts w:hint="eastAsia"/>
          <w:sz w:val="32"/>
          <w:szCs w:val="32"/>
          <w:lang w:eastAsia="zh-CN"/>
        </w:rPr>
        <w:t>、</w:t>
      </w:r>
      <w:r>
        <w:rPr>
          <w:rFonts w:hint="eastAsia"/>
          <w:sz w:val="32"/>
          <w:szCs w:val="32"/>
          <w:lang w:val="en-US" w:eastAsia="zh-CN"/>
        </w:rPr>
        <w:t>年度计划符合性分析</w:t>
      </w:r>
      <w:bookmarkEnd w:id="46"/>
    </w:p>
    <w:p w14:paraId="78EA0E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bookmarkStart w:id="47" w:name="_Hlk92816585"/>
      <w:r>
        <w:rPr>
          <w:rFonts w:hint="default" w:ascii="Times New Roman" w:hAnsi="Times New Roman" w:eastAsia="仿宋" w:cs="Times New Roman"/>
          <w:color w:val="auto"/>
          <w:kern w:val="2"/>
          <w:sz w:val="28"/>
          <w:szCs w:val="32"/>
          <w:lang w:val="en-US" w:eastAsia="zh-CN" w:bidi="ar-SA"/>
        </w:rPr>
        <w:t>依据《</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十四五”时期，是高平经济社会发展的关键转型期，也是全面转向高质量发展的转折期、攻坚期。从高平情况看，“十三五”期间取得多个领域先行先试、示范区发展优势，绿色矿山、煤化工、新装备、新材料、新能源、特色农业、文化旅游等都呈现良好发展态势，郑太高铁的通车极大改善居民出入条件，为文化交流、旅游客源引进等带来新的发展机遇。</w:t>
      </w:r>
    </w:p>
    <w:p w14:paraId="5AB715D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highlight w:val="none"/>
          <w:lang w:val="en-US" w:eastAsia="zh-CN" w:bidi="ar-SA"/>
        </w:rPr>
      </w:pPr>
      <w:r>
        <w:rPr>
          <w:rFonts w:hint="default" w:ascii="Times New Roman" w:hAnsi="Times New Roman" w:eastAsia="仿宋" w:cs="Times New Roman"/>
          <w:color w:val="auto"/>
          <w:kern w:val="2"/>
          <w:sz w:val="28"/>
          <w:szCs w:val="32"/>
          <w:lang w:val="en-US" w:eastAsia="zh-CN" w:bidi="ar-SA"/>
        </w:rPr>
        <w:t>在全面建成小康社会的基础上，再经过十五年的努力，主要经济指标达到或超出全国平均水平，保持全省和晋城市前列，资源型经济转型任务全面完成，实现更高质量更有效率更加公平更可持续更为安全的发展。一流创新生态构建形成，创新驱动能力显著增强，科技成果转化利用水平大幅跃升，建成煤炭化工铸造建材、新能源新材料、台湾产业园、“五彩”现代农业、文化旅游和康养五大百亿级产业集群。环境质量根本好转，生态文明制度体系全面形成，碳排放达峰后稳中有降，碳中和稳步推进。形成以“一轴一廊三区五镇”为构架的大县城格局，成功创建全国文明城市和国家卫生城市。乡村振兴取得决定性进展，农业农村现代化基本实现。民生福祉不断增进，基本公共服务实现均等化，文化软实力显著增强，社会治理能力现代化水平不断提高，人民群众现代化的高品质生活基本实现，与晋城市、全省、全国同步基本实现现代化，全市人民共同富裕取得更为明显的实质性进展。</w:t>
      </w:r>
    </w:p>
    <w:p w14:paraId="5EFEFC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本方案符合《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国民经济和社会发展第十四个五年规划和二〇三五年远景目标纲要》的发展定位及战略要求。</w:t>
      </w:r>
    </w:p>
    <w:p w14:paraId="5A70857E">
      <w:pPr>
        <w:pStyle w:val="3"/>
        <w:numPr>
          <w:ilvl w:val="1"/>
          <w:numId w:val="0"/>
        </w:numPr>
        <w:tabs>
          <w:tab w:val="clear" w:pos="420"/>
        </w:tabs>
        <w:bidi w:val="0"/>
        <w:ind w:left="575" w:leftChars="0" w:hanging="575" w:firstLineChars="0"/>
        <w:rPr>
          <w:rFonts w:hint="default"/>
          <w:sz w:val="32"/>
          <w:szCs w:val="32"/>
        </w:rPr>
      </w:pPr>
      <w:bookmarkStart w:id="48" w:name="_Toc12"/>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与</w:t>
      </w:r>
      <w:r>
        <w:rPr>
          <w:rFonts w:hint="default"/>
          <w:sz w:val="32"/>
          <w:szCs w:val="32"/>
        </w:rPr>
        <w:t>生态环境</w:t>
      </w:r>
      <w:r>
        <w:rPr>
          <w:rFonts w:hint="eastAsia"/>
          <w:sz w:val="32"/>
          <w:szCs w:val="32"/>
          <w:lang w:eastAsia="zh-CN"/>
        </w:rPr>
        <w:t>“</w:t>
      </w:r>
      <w:r>
        <w:rPr>
          <w:rFonts w:hint="default"/>
          <w:sz w:val="32"/>
          <w:szCs w:val="32"/>
        </w:rPr>
        <w:t>三线一单</w:t>
      </w:r>
      <w:bookmarkEnd w:id="47"/>
      <w:r>
        <w:rPr>
          <w:rFonts w:hint="eastAsia"/>
          <w:sz w:val="32"/>
          <w:szCs w:val="32"/>
          <w:lang w:eastAsia="zh-CN"/>
        </w:rPr>
        <w:t>”</w:t>
      </w:r>
      <w:r>
        <w:rPr>
          <w:rFonts w:hint="eastAsia"/>
          <w:sz w:val="32"/>
          <w:szCs w:val="32"/>
          <w:lang w:val="en-US" w:eastAsia="zh-CN"/>
        </w:rPr>
        <w:t>符合性分析</w:t>
      </w:r>
      <w:bookmarkEnd w:id="48"/>
    </w:p>
    <w:p w14:paraId="3275EF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根据《晋城市“三线一单”生态环境分区管控实方案》，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所处区域大部</w:t>
      </w:r>
      <w:r>
        <w:rPr>
          <w:rFonts w:hint="eastAsia" w:ascii="Times New Roman" w:hAnsi="Times New Roman" w:eastAsia="仿宋" w:cs="Times New Roman"/>
          <w:color w:val="auto"/>
          <w:kern w:val="2"/>
          <w:sz w:val="28"/>
          <w:szCs w:val="32"/>
          <w:lang w:val="en-US" w:eastAsia="zh-CN" w:bidi="ar-SA"/>
        </w:rPr>
        <w:t>分</w:t>
      </w:r>
      <w:r>
        <w:rPr>
          <w:rFonts w:hint="default" w:ascii="Times New Roman" w:hAnsi="Times New Roman" w:eastAsia="仿宋" w:cs="Times New Roman"/>
          <w:color w:val="auto"/>
          <w:kern w:val="2"/>
          <w:sz w:val="28"/>
          <w:szCs w:val="32"/>
          <w:lang w:val="en-US" w:eastAsia="zh-CN" w:bidi="ar-SA"/>
        </w:rPr>
        <w:t>在</w:t>
      </w:r>
      <w:r>
        <w:rPr>
          <w:rFonts w:hint="eastAsia" w:ascii="Times New Roman" w:hAnsi="Times New Roman" w:eastAsia="仿宋" w:cs="Times New Roman"/>
          <w:color w:val="auto"/>
          <w:kern w:val="2"/>
          <w:sz w:val="28"/>
          <w:szCs w:val="32"/>
          <w:lang w:val="en-US" w:eastAsia="zh-CN" w:bidi="ar-SA"/>
        </w:rPr>
        <w:t>优先保护单元和重点管控</w:t>
      </w:r>
      <w:r>
        <w:rPr>
          <w:rFonts w:hint="default" w:ascii="Times New Roman" w:hAnsi="Times New Roman" w:eastAsia="仿宋" w:cs="Times New Roman"/>
          <w:color w:val="auto"/>
          <w:kern w:val="2"/>
          <w:sz w:val="28"/>
          <w:szCs w:val="32"/>
          <w:lang w:val="en-US" w:eastAsia="zh-CN" w:bidi="ar-SA"/>
        </w:rPr>
        <w:t>单元内</w:t>
      </w:r>
      <w:r>
        <w:rPr>
          <w:rFonts w:hint="eastAsia" w:ascii="Times New Roman" w:hAnsi="Times New Roman" w:eastAsia="仿宋" w:cs="Times New Roman"/>
          <w:color w:val="auto"/>
          <w:kern w:val="2"/>
          <w:sz w:val="28"/>
          <w:szCs w:val="32"/>
          <w:lang w:val="en-US" w:eastAsia="zh-CN" w:bidi="ar-SA"/>
        </w:rPr>
        <w:t>。</w:t>
      </w:r>
    </w:p>
    <w:p w14:paraId="219AB5E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eastAsia" w:ascii="Times New Roman" w:hAnsi="Times New Roman" w:eastAsia="仿宋" w:cs="Times New Roman"/>
          <w:color w:val="auto"/>
          <w:kern w:val="2"/>
          <w:sz w:val="28"/>
          <w:szCs w:val="32"/>
          <w:highlight w:val="none"/>
          <w:lang w:val="en-US" w:eastAsia="zh-CN" w:bidi="ar-SA"/>
        </w:rPr>
        <w:t>三线一单方案明确，在重点管控单元内</w:t>
      </w:r>
      <w:r>
        <w:rPr>
          <w:rFonts w:hint="default" w:ascii="Times New Roman" w:hAnsi="Times New Roman" w:eastAsia="仿宋" w:cs="Times New Roman"/>
          <w:color w:val="auto"/>
          <w:kern w:val="2"/>
          <w:sz w:val="28"/>
          <w:szCs w:val="32"/>
          <w:lang w:val="en-US" w:eastAsia="zh-CN" w:bidi="ar-SA"/>
        </w:rPr>
        <w:t>：</w:t>
      </w:r>
      <w:r>
        <w:rPr>
          <w:rFonts w:hint="eastAsia" w:ascii="Times New Roman" w:hAnsi="Times New Roman" w:eastAsia="仿宋" w:cs="Times New Roman"/>
          <w:color w:val="auto"/>
          <w:kern w:val="2"/>
          <w:sz w:val="28"/>
          <w:szCs w:val="32"/>
          <w:highlight w:val="none"/>
          <w:lang w:val="en-US" w:eastAsia="zh-CN" w:bidi="ar-SA"/>
        </w:rPr>
        <w:t>要求进一步优化空间布局，加强污染物排放控制和环境风险防控，不断提升资源能源利用效率，解决生态环境质量不达标、生态环境风险高等问题，发挥减污降碳协同效应。晋城市作为京津冀大气污染联防联控重点区域，要加快调整优化产业结构、能源结构，严禁新增钢铁、焦化、铸造、水泥、平板玻璃等产能，确有必要新建或改造升级的，要严格执行产能置换实施办法。要加快实施城市规划区“两高”企业搬迁，完善能源消费双控制度。实施企业绩效分级分类管控，强化联防联控，持续推进清洁取暖散煤治理，严防“散乱污”企业反弹，积极应对重污染天气。积极推行城镇生活污水处理“厂-网-河（湖）”一体化运营模式，大力推进工业废水近零排放和资源化利用，实施城镇生活再生水资源化分质利用</w:t>
      </w:r>
      <w:r>
        <w:rPr>
          <w:rFonts w:hint="default" w:ascii="Times New Roman" w:hAnsi="Times New Roman" w:eastAsia="仿宋" w:cs="Times New Roman"/>
          <w:color w:val="auto"/>
          <w:kern w:val="2"/>
          <w:sz w:val="28"/>
          <w:szCs w:val="32"/>
          <w:lang w:val="en-US" w:eastAsia="zh-CN" w:bidi="ar-SA"/>
        </w:rPr>
        <w:t>。</w:t>
      </w:r>
    </w:p>
    <w:p w14:paraId="133F41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highlight w:val="none"/>
          <w:lang w:val="en-US" w:eastAsia="zh-CN" w:bidi="ar-SA"/>
        </w:rPr>
        <w:t>在</w:t>
      </w:r>
      <w:r>
        <w:rPr>
          <w:rFonts w:hint="eastAsia" w:ascii="Times New Roman" w:hAnsi="Times New Roman" w:eastAsia="仿宋" w:cs="Times New Roman"/>
          <w:color w:val="auto"/>
          <w:kern w:val="2"/>
          <w:sz w:val="28"/>
          <w:szCs w:val="32"/>
          <w:highlight w:val="none"/>
          <w:lang w:val="en-US" w:eastAsia="zh-CN" w:bidi="ar-SA"/>
        </w:rPr>
        <w:t>优先保护</w:t>
      </w:r>
      <w:r>
        <w:rPr>
          <w:rFonts w:hint="default" w:ascii="Times New Roman" w:hAnsi="Times New Roman" w:eastAsia="仿宋" w:cs="Times New Roman"/>
          <w:color w:val="auto"/>
          <w:kern w:val="2"/>
          <w:sz w:val="28"/>
          <w:szCs w:val="32"/>
          <w:highlight w:val="none"/>
          <w:lang w:val="en-US" w:eastAsia="zh-CN" w:bidi="ar-SA"/>
        </w:rPr>
        <w:t>单元内：要求依法禁止或限制大规模、高强度的工业和城镇开发建设</w:t>
      </w:r>
      <w:r>
        <w:rPr>
          <w:rFonts w:hint="eastAsia" w:ascii="Times New Roman" w:hAnsi="Times New Roman" w:eastAsia="仿宋" w:cs="Times New Roman"/>
          <w:color w:val="auto"/>
          <w:kern w:val="2"/>
          <w:sz w:val="28"/>
          <w:szCs w:val="32"/>
          <w:highlight w:val="none"/>
          <w:lang w:val="en-US" w:eastAsia="zh-CN" w:bidi="ar-SA"/>
        </w:rPr>
        <w:t>，</w:t>
      </w:r>
      <w:r>
        <w:rPr>
          <w:rFonts w:hint="default" w:ascii="Times New Roman" w:hAnsi="Times New Roman" w:eastAsia="仿宋" w:cs="Times New Roman"/>
          <w:color w:val="auto"/>
          <w:kern w:val="2"/>
          <w:sz w:val="28"/>
          <w:szCs w:val="32"/>
          <w:highlight w:val="none"/>
          <w:lang w:val="en-US" w:eastAsia="zh-CN" w:bidi="ar-SA"/>
        </w:rPr>
        <w:t>在功能受损的优先保护单元优先开展生态保护修复活动，恢复生态系统服务功能。加强生态保护红线和重要生态空间的保护，依法禁止或限制大规模开发，严格矿山开采等产业准入，加强矿区的生态治理与修复，加强煤层气开采过程中的生态保护和修复，提高水源涵养能力，保护森林生态系统，有效减少泥沙入河。在沁河和丹河谷地以及人居环境敏感区，严控重污染行业产能规模，推进产业布局与生态空间协调发展。</w:t>
      </w:r>
    </w:p>
    <w:p w14:paraId="6523F6D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color w:val="auto"/>
          <w:kern w:val="2"/>
          <w:sz w:val="28"/>
          <w:szCs w:val="32"/>
          <w:lang w:val="en-US" w:eastAsia="zh-CN" w:bidi="ar-SA"/>
        </w:rPr>
        <w:t>本方案符合《山西省自然资源厅关于印发〈山西省土地征收成片开发标准实施细则的通知》第十六条“符合生态环境三线一单”的管控要求。</w:t>
      </w:r>
    </w:p>
    <w:p w14:paraId="6E122A9D">
      <w:pPr>
        <w:pStyle w:val="3"/>
        <w:numPr>
          <w:ilvl w:val="1"/>
          <w:numId w:val="0"/>
        </w:numPr>
        <w:tabs>
          <w:tab w:val="clear" w:pos="420"/>
        </w:tabs>
        <w:bidi w:val="0"/>
        <w:ind w:left="575" w:leftChars="0" w:hanging="575" w:firstLineChars="0"/>
        <w:rPr>
          <w:rFonts w:hint="default"/>
          <w:sz w:val="32"/>
          <w:szCs w:val="32"/>
        </w:rPr>
      </w:pPr>
      <w:bookmarkStart w:id="49" w:name="_Toc16072"/>
      <w:bookmarkStart w:id="50" w:name="_Toc25464"/>
      <w:bookmarkStart w:id="51" w:name="_Toc29770"/>
      <w:bookmarkStart w:id="52" w:name="_Toc5"/>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公益性用地比例</w:t>
      </w:r>
      <w:bookmarkEnd w:id="49"/>
    </w:p>
    <w:p w14:paraId="726B70DB">
      <w:pPr>
        <w:spacing w:line="240" w:lineRule="auto"/>
        <w:ind w:firstLine="640"/>
        <w:rPr>
          <w:rFonts w:hint="eastAsia" w:ascii="Times New Roman" w:hAnsi="Times New Roman" w:eastAsia="仿宋" w:cs="Times New Roman"/>
          <w:sz w:val="28"/>
          <w:szCs w:val="32"/>
          <w:highlight w:val="none"/>
          <w:lang w:val="en-US" w:eastAsia="zh-CN" w:bidi="ar-SA"/>
        </w:rPr>
      </w:pPr>
      <w:bookmarkStart w:id="53" w:name="_Hlk98753460"/>
      <w:r>
        <w:rPr>
          <w:rFonts w:hint="eastAsia" w:ascii="Times New Roman" w:hAnsi="Times New Roman" w:eastAsia="仿宋" w:cs="Times New Roman"/>
          <w:sz w:val="28"/>
          <w:szCs w:val="32"/>
          <w:highlight w:val="none"/>
          <w:lang w:val="en-US" w:eastAsia="zh-CN" w:bidi="ar-SA"/>
        </w:rPr>
        <w:t>本方案</w:t>
      </w:r>
      <w:r>
        <w:rPr>
          <w:rFonts w:hint="default" w:ascii="Times New Roman" w:hAnsi="Times New Roman" w:eastAsia="仿宋" w:cs="Times New Roman"/>
          <w:sz w:val="28"/>
          <w:szCs w:val="32"/>
          <w:highlight w:val="none"/>
          <w:lang w:val="en-US" w:eastAsia="zh-CN" w:bidi="ar-SA"/>
        </w:rPr>
        <w:t>片区面积</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，公共管理与公共服务用地、公用设施用地、交通运输用地、绿地与开敞空间用地等公益性用地21.4593公顷，</w:t>
      </w:r>
      <w:r>
        <w:rPr>
          <w:rFonts w:hint="eastAsia" w:ascii="Times New Roman" w:hAnsi="Times New Roman" w:eastAsia="仿宋" w:cs="Times New Roman"/>
          <w:color w:val="auto"/>
          <w:sz w:val="28"/>
          <w:szCs w:val="32"/>
          <w:highlight w:val="none"/>
          <w:lang w:val="en-US" w:eastAsia="zh-CN" w:bidi="ar-SA"/>
        </w:rPr>
        <w:t>高平市经济技术开发区成片开发范围内公益性用地比例为29.13%，开发区成片开发范围外公益性用地比例为48.16</w:t>
      </w:r>
      <w:r>
        <w:rPr>
          <w:rFonts w:hint="eastAsia" w:ascii="Times New Roman" w:hAnsi="Times New Roman" w:eastAsia="仿宋" w:cs="Times New Roman"/>
          <w:sz w:val="28"/>
          <w:szCs w:val="32"/>
          <w:highlight w:val="none"/>
          <w:lang w:val="en-US" w:eastAsia="zh-CN" w:bidi="ar-SA"/>
        </w:rPr>
        <w:t>%，满足</w:t>
      </w:r>
      <w:r>
        <w:rPr>
          <w:rFonts w:hint="default" w:ascii="Times New Roman" w:hAnsi="Times New Roman" w:eastAsia="仿宋" w:cs="Times New Roman"/>
          <w:sz w:val="28"/>
          <w:szCs w:val="32"/>
          <w:highlight w:val="none"/>
          <w:lang w:eastAsia="zh-CN" w:bidi="ar-SA"/>
        </w:rPr>
        <w:t>《山西省土地征收成片开发标准实施细则》（晋自然资发〔2024〕18号）</w:t>
      </w:r>
      <w:r>
        <w:rPr>
          <w:rFonts w:hint="eastAsia" w:ascii="Times New Roman" w:hAnsi="Times New Roman" w:eastAsia="仿宋" w:cs="Times New Roman"/>
          <w:sz w:val="28"/>
          <w:szCs w:val="32"/>
          <w:highlight w:val="none"/>
          <w:lang w:val="en-US" w:eastAsia="zh-CN" w:bidi="ar-SA"/>
        </w:rPr>
        <w:t>对公益性用地比例的要求</w:t>
      </w:r>
      <w:r>
        <w:rPr>
          <w:rFonts w:hint="default"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32"/>
          <w:highlight w:val="none"/>
          <w:lang w:val="en-US" w:eastAsia="zh-CN" w:bidi="ar-SA"/>
        </w:rPr>
        <w:t>见下表6-1。</w:t>
      </w:r>
    </w:p>
    <w:p w14:paraId="385CD277">
      <w:pPr>
        <w:spacing w:line="240" w:lineRule="auto"/>
        <w:ind w:firstLine="640"/>
        <w:rPr>
          <w:rFonts w:hint="default" w:ascii="Times New Roman" w:hAnsi="Times New Roman" w:eastAsia="仿宋" w:cs="Times New Roman"/>
          <w:sz w:val="28"/>
          <w:szCs w:val="32"/>
          <w:highlight w:val="none"/>
          <w:lang w:val="en-US" w:eastAsia="zh-CN" w:bidi="ar-SA"/>
        </w:rPr>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bookmarkEnd w:id="53"/>
    <w:p w14:paraId="1CA1D4F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sz w:val="24"/>
          <w:szCs w:val="24"/>
          <w:lang w:bidi="ar-SA"/>
        </w:rPr>
        <w:t>表</w:t>
      </w:r>
      <w:r>
        <w:rPr>
          <w:rFonts w:hint="eastAsia" w:ascii="Times New Roman" w:hAnsi="Times New Roman" w:eastAsia="仿宋" w:cs="Times New Roman"/>
          <w:sz w:val="24"/>
          <w:szCs w:val="24"/>
          <w:lang w:val="en-US" w:eastAsia="zh-CN" w:bidi="ar-SA"/>
        </w:rPr>
        <w:t>6</w:t>
      </w:r>
      <w:r>
        <w:rPr>
          <w:rFonts w:hint="default" w:ascii="Times New Roman" w:hAnsi="Times New Roman" w:eastAsia="仿宋" w:cs="Times New Roman"/>
          <w:sz w:val="24"/>
          <w:szCs w:val="24"/>
          <w:lang w:bidi="ar-SA"/>
        </w:rPr>
        <w:t>-</w:t>
      </w:r>
      <w:r>
        <w:rPr>
          <w:rFonts w:hint="eastAsia" w:ascii="Times New Roman" w:hAnsi="Times New Roman" w:eastAsia="仿宋" w:cs="Times New Roman"/>
          <w:sz w:val="24"/>
          <w:szCs w:val="24"/>
          <w:lang w:val="en-US" w:eastAsia="zh-CN" w:bidi="ar-SA"/>
        </w:rPr>
        <w:t xml:space="preserve">1 </w:t>
      </w:r>
      <w:r>
        <w:rPr>
          <w:rFonts w:hint="default" w:ascii="Times New Roman" w:hAnsi="Times New Roman" w:eastAsia="仿宋" w:cs="Times New Roman"/>
          <w:sz w:val="24"/>
          <w:szCs w:val="24"/>
          <w:lang w:val="en-US" w:eastAsia="zh-CN" w:bidi="ar-SA"/>
        </w:rPr>
        <w:t>公益</w:t>
      </w:r>
      <w:r>
        <w:rPr>
          <w:rFonts w:hint="eastAsia" w:ascii="Times New Roman" w:hAnsi="Times New Roman" w:eastAsia="仿宋" w:cs="Times New Roman"/>
          <w:sz w:val="24"/>
          <w:szCs w:val="24"/>
          <w:lang w:val="en-US" w:eastAsia="zh-CN" w:bidi="ar-SA"/>
        </w:rPr>
        <w:t>性</w:t>
      </w:r>
      <w:r>
        <w:rPr>
          <w:rFonts w:hint="default" w:ascii="Times New Roman" w:hAnsi="Times New Roman" w:eastAsia="仿宋" w:cs="Times New Roman"/>
          <w:sz w:val="24"/>
          <w:szCs w:val="24"/>
          <w:lang w:val="en-US" w:eastAsia="zh-CN" w:bidi="ar-SA"/>
        </w:rPr>
        <w:t>用地</w:t>
      </w:r>
      <w:r>
        <w:rPr>
          <w:rFonts w:hint="default" w:ascii="Times New Roman" w:hAnsi="Times New Roman" w:eastAsia="仿宋" w:cs="Times New Roman"/>
          <w:sz w:val="24"/>
          <w:szCs w:val="24"/>
          <w:lang w:bidi="ar-SA"/>
        </w:rPr>
        <w:t>情况</w:t>
      </w:r>
    </w:p>
    <w:p w14:paraId="041EB548">
      <w:pPr>
        <w:spacing w:line="240" w:lineRule="auto"/>
        <w:jc w:val="right"/>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（单位：公顷</w:t>
      </w:r>
      <w:r>
        <w:rPr>
          <w:rFonts w:hint="eastAsia" w:ascii="Times New Roman" w:hAnsi="Times New Roman" w:eastAsia="仿宋" w:cs="Times New Roman"/>
          <w:sz w:val="24"/>
          <w:szCs w:val="24"/>
          <w:lang w:val="en-US" w:eastAsia="zh-CN" w:bidi="ar-SA"/>
        </w:rPr>
        <w:t>、%</w:t>
      </w:r>
      <w:r>
        <w:rPr>
          <w:rFonts w:hint="default" w:ascii="Times New Roman" w:hAnsi="Times New Roman" w:eastAsia="仿宋" w:cs="Times New Roman"/>
          <w:sz w:val="24"/>
          <w:szCs w:val="24"/>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758"/>
        <w:gridCol w:w="2159"/>
        <w:gridCol w:w="933"/>
        <w:gridCol w:w="808"/>
        <w:gridCol w:w="705"/>
        <w:gridCol w:w="720"/>
        <w:gridCol w:w="948"/>
        <w:gridCol w:w="762"/>
        <w:gridCol w:w="928"/>
        <w:gridCol w:w="632"/>
        <w:gridCol w:w="585"/>
        <w:gridCol w:w="510"/>
        <w:gridCol w:w="1035"/>
        <w:gridCol w:w="1121"/>
        <w:gridCol w:w="978"/>
      </w:tblGrid>
      <w:tr w14:paraId="16CC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vMerge w:val="restart"/>
            <w:tcBorders>
              <w:top w:val="single" w:color="000000" w:sz="8" w:space="0"/>
              <w:left w:val="single" w:color="000000" w:sz="8" w:space="0"/>
              <w:right w:val="single" w:color="000000" w:sz="8" w:space="0"/>
            </w:tcBorders>
            <w:shd w:val="clear" w:color="auto" w:fill="auto"/>
            <w:noWrap/>
            <w:vAlign w:val="center"/>
          </w:tcPr>
          <w:p w14:paraId="301DE7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类型</w:t>
            </w:r>
          </w:p>
        </w:tc>
        <w:tc>
          <w:tcPr>
            <w:tcW w:w="267" w:type="pct"/>
            <w:vMerge w:val="restart"/>
            <w:tcBorders>
              <w:top w:val="single" w:color="000000" w:sz="8" w:space="0"/>
              <w:left w:val="nil"/>
              <w:right w:val="single" w:color="000000" w:sz="8" w:space="0"/>
            </w:tcBorders>
            <w:shd w:val="clear" w:color="auto" w:fill="auto"/>
            <w:noWrap/>
            <w:vAlign w:val="center"/>
          </w:tcPr>
          <w:p w14:paraId="621D70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761" w:type="pct"/>
            <w:vMerge w:val="restart"/>
            <w:tcBorders>
              <w:top w:val="single" w:color="000000" w:sz="8" w:space="0"/>
              <w:left w:val="nil"/>
              <w:right w:val="single" w:color="000000" w:sz="8" w:space="0"/>
            </w:tcBorders>
            <w:shd w:val="clear" w:color="auto" w:fill="auto"/>
            <w:noWrap/>
            <w:vAlign w:val="center"/>
          </w:tcPr>
          <w:p w14:paraId="516F35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2656" w:type="pct"/>
            <w:gridSpan w:val="10"/>
            <w:tcBorders>
              <w:top w:val="single" w:color="000000" w:sz="8" w:space="0"/>
              <w:left w:val="nil"/>
              <w:bottom w:val="single" w:color="000000" w:sz="8" w:space="0"/>
              <w:right w:val="single" w:color="000000" w:sz="8" w:space="0"/>
            </w:tcBorders>
            <w:shd w:val="clear" w:color="auto" w:fill="auto"/>
            <w:noWrap/>
            <w:vAlign w:val="center"/>
          </w:tcPr>
          <w:p w14:paraId="305E05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公益用地</w:t>
            </w:r>
          </w:p>
        </w:tc>
        <w:tc>
          <w:tcPr>
            <w:tcW w:w="365" w:type="pct"/>
            <w:vMerge w:val="restart"/>
            <w:tcBorders>
              <w:top w:val="single" w:color="000000" w:sz="8" w:space="0"/>
              <w:left w:val="nil"/>
              <w:right w:val="single" w:color="000000" w:sz="8" w:space="0"/>
            </w:tcBorders>
            <w:shd w:val="clear" w:color="auto" w:fill="auto"/>
            <w:noWrap/>
            <w:vAlign w:val="center"/>
          </w:tcPr>
          <w:p w14:paraId="232368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95" w:type="pct"/>
            <w:vMerge w:val="restart"/>
            <w:tcBorders>
              <w:top w:val="single" w:color="000000" w:sz="8" w:space="0"/>
              <w:left w:val="nil"/>
              <w:right w:val="single" w:color="000000" w:sz="8" w:space="0"/>
            </w:tcBorders>
            <w:shd w:val="clear" w:color="auto" w:fill="auto"/>
            <w:noWrap/>
            <w:vAlign w:val="center"/>
          </w:tcPr>
          <w:p w14:paraId="1D81317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片区面积</w:t>
            </w:r>
          </w:p>
        </w:tc>
        <w:tc>
          <w:tcPr>
            <w:tcW w:w="344" w:type="pct"/>
            <w:vMerge w:val="restart"/>
            <w:tcBorders>
              <w:top w:val="single" w:color="000000" w:sz="8" w:space="0"/>
              <w:left w:val="nil"/>
              <w:right w:val="single" w:color="000000" w:sz="8" w:space="0"/>
            </w:tcBorders>
            <w:shd w:val="clear" w:color="auto" w:fill="auto"/>
            <w:noWrap/>
            <w:vAlign w:val="center"/>
          </w:tcPr>
          <w:p w14:paraId="20970B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公益比例</w:t>
            </w:r>
          </w:p>
        </w:tc>
      </w:tr>
      <w:tr w14:paraId="435E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noWrap/>
            <w:vAlign w:val="center"/>
          </w:tcPr>
          <w:p w14:paraId="28DB08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right w:val="single" w:color="000000" w:sz="8" w:space="0"/>
            </w:tcBorders>
            <w:shd w:val="clear" w:color="auto" w:fill="auto"/>
            <w:noWrap/>
            <w:vAlign w:val="center"/>
          </w:tcPr>
          <w:p w14:paraId="102AD6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right w:val="single" w:color="000000" w:sz="8" w:space="0"/>
            </w:tcBorders>
            <w:shd w:val="clear" w:color="auto" w:fill="auto"/>
            <w:noWrap/>
            <w:vAlign w:val="center"/>
          </w:tcPr>
          <w:p w14:paraId="680ED8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14" w:type="pct"/>
            <w:gridSpan w:val="2"/>
            <w:tcBorders>
              <w:top w:val="nil"/>
              <w:left w:val="nil"/>
              <w:bottom w:val="single" w:color="000000" w:sz="8" w:space="0"/>
              <w:right w:val="single" w:color="000000" w:sz="8" w:space="0"/>
            </w:tcBorders>
            <w:shd w:val="clear" w:color="auto" w:fill="auto"/>
            <w:noWrap/>
            <w:vAlign w:val="center"/>
          </w:tcPr>
          <w:p w14:paraId="4C57B55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公共管理与公共服务用地</w:t>
            </w:r>
          </w:p>
        </w:tc>
        <w:tc>
          <w:tcPr>
            <w:tcW w:w="502" w:type="pct"/>
            <w:gridSpan w:val="2"/>
            <w:tcBorders>
              <w:top w:val="nil"/>
              <w:left w:val="nil"/>
              <w:bottom w:val="single" w:color="000000" w:sz="8" w:space="0"/>
              <w:right w:val="single" w:color="000000" w:sz="8" w:space="0"/>
            </w:tcBorders>
            <w:shd w:val="clear" w:color="auto" w:fill="auto"/>
            <w:noWrap/>
            <w:vAlign w:val="center"/>
          </w:tcPr>
          <w:p w14:paraId="5176424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公用设施用地</w:t>
            </w:r>
          </w:p>
        </w:tc>
        <w:tc>
          <w:tcPr>
            <w:tcW w:w="603" w:type="pct"/>
            <w:gridSpan w:val="2"/>
            <w:tcBorders>
              <w:top w:val="nil"/>
              <w:left w:val="nil"/>
              <w:bottom w:val="single" w:color="000000" w:sz="8" w:space="0"/>
              <w:right w:val="single" w:color="000000" w:sz="8" w:space="0"/>
            </w:tcBorders>
            <w:shd w:val="clear" w:color="auto" w:fill="auto"/>
            <w:noWrap/>
            <w:vAlign w:val="center"/>
          </w:tcPr>
          <w:p w14:paraId="4E04029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50" w:type="pct"/>
            <w:gridSpan w:val="2"/>
            <w:tcBorders>
              <w:top w:val="nil"/>
              <w:left w:val="nil"/>
              <w:bottom w:val="single" w:color="000000" w:sz="8" w:space="0"/>
              <w:right w:val="single" w:color="000000" w:sz="8" w:space="0"/>
            </w:tcBorders>
            <w:shd w:val="clear" w:color="auto" w:fill="auto"/>
            <w:noWrap/>
            <w:vAlign w:val="center"/>
          </w:tcPr>
          <w:p w14:paraId="4820CF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绿地与开敞空间用地</w:t>
            </w:r>
          </w:p>
        </w:tc>
        <w:tc>
          <w:tcPr>
            <w:tcW w:w="386" w:type="pct"/>
            <w:gridSpan w:val="2"/>
            <w:tcBorders>
              <w:top w:val="nil"/>
              <w:left w:val="nil"/>
              <w:bottom w:val="single" w:color="000000" w:sz="8" w:space="0"/>
              <w:right w:val="single" w:color="000000" w:sz="8" w:space="0"/>
            </w:tcBorders>
            <w:shd w:val="clear" w:color="auto" w:fill="auto"/>
            <w:noWrap/>
            <w:vAlign w:val="center"/>
          </w:tcPr>
          <w:p w14:paraId="518ED0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特殊用地</w:t>
            </w:r>
          </w:p>
        </w:tc>
        <w:tc>
          <w:tcPr>
            <w:tcW w:w="365" w:type="pct"/>
            <w:vMerge w:val="continue"/>
            <w:tcBorders>
              <w:left w:val="nil"/>
              <w:right w:val="single" w:color="000000" w:sz="8" w:space="0"/>
            </w:tcBorders>
            <w:shd w:val="clear" w:color="auto" w:fill="auto"/>
            <w:noWrap/>
            <w:vAlign w:val="center"/>
          </w:tcPr>
          <w:p w14:paraId="34B24E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right w:val="single" w:color="000000" w:sz="8" w:space="0"/>
            </w:tcBorders>
            <w:shd w:val="clear" w:color="auto" w:fill="auto"/>
            <w:noWrap/>
            <w:vAlign w:val="center"/>
          </w:tcPr>
          <w:p w14:paraId="7D0F44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right w:val="single" w:color="000000" w:sz="8" w:space="0"/>
            </w:tcBorders>
            <w:shd w:val="clear" w:color="auto" w:fill="auto"/>
            <w:noWrap/>
            <w:vAlign w:val="center"/>
          </w:tcPr>
          <w:p w14:paraId="6D2B1AE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7023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02EAA7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bottom w:val="single" w:color="000000" w:sz="8" w:space="0"/>
              <w:right w:val="single" w:color="000000" w:sz="8" w:space="0"/>
            </w:tcBorders>
            <w:shd w:val="clear" w:color="auto" w:fill="auto"/>
            <w:noWrap/>
            <w:vAlign w:val="center"/>
          </w:tcPr>
          <w:p w14:paraId="7B4FD70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bottom w:val="single" w:color="000000" w:sz="8" w:space="0"/>
              <w:right w:val="single" w:color="000000" w:sz="8" w:space="0"/>
            </w:tcBorders>
            <w:shd w:val="clear" w:color="auto" w:fill="auto"/>
            <w:noWrap/>
            <w:vAlign w:val="center"/>
          </w:tcPr>
          <w:p w14:paraId="223E85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29" w:type="pct"/>
            <w:tcBorders>
              <w:top w:val="nil"/>
              <w:left w:val="nil"/>
              <w:bottom w:val="single" w:color="000000" w:sz="8" w:space="0"/>
              <w:right w:val="single" w:color="000000" w:sz="8" w:space="0"/>
            </w:tcBorders>
            <w:shd w:val="clear" w:color="auto" w:fill="auto"/>
            <w:noWrap/>
            <w:vAlign w:val="center"/>
          </w:tcPr>
          <w:p w14:paraId="2898ACC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85" w:type="pct"/>
            <w:tcBorders>
              <w:top w:val="nil"/>
              <w:left w:val="nil"/>
              <w:bottom w:val="single" w:color="000000" w:sz="8" w:space="0"/>
              <w:right w:val="single" w:color="000000" w:sz="8" w:space="0"/>
            </w:tcBorders>
            <w:shd w:val="clear" w:color="auto" w:fill="auto"/>
            <w:noWrap/>
            <w:vAlign w:val="center"/>
          </w:tcPr>
          <w:p w14:paraId="0A293C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48" w:type="pct"/>
            <w:tcBorders>
              <w:top w:val="nil"/>
              <w:left w:val="nil"/>
              <w:bottom w:val="single" w:color="000000" w:sz="8" w:space="0"/>
              <w:right w:val="single" w:color="000000" w:sz="8" w:space="0"/>
            </w:tcBorders>
            <w:shd w:val="clear" w:color="auto" w:fill="auto"/>
            <w:noWrap/>
            <w:vAlign w:val="center"/>
          </w:tcPr>
          <w:p w14:paraId="4DBA80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53" w:type="pct"/>
            <w:tcBorders>
              <w:top w:val="nil"/>
              <w:left w:val="nil"/>
              <w:bottom w:val="single" w:color="000000" w:sz="8" w:space="0"/>
              <w:right w:val="single" w:color="000000" w:sz="8" w:space="0"/>
            </w:tcBorders>
            <w:shd w:val="clear" w:color="auto" w:fill="auto"/>
            <w:noWrap/>
            <w:vAlign w:val="center"/>
          </w:tcPr>
          <w:p w14:paraId="21BDD12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34" w:type="pct"/>
            <w:tcBorders>
              <w:top w:val="nil"/>
              <w:left w:val="nil"/>
              <w:bottom w:val="single" w:color="000000" w:sz="8" w:space="0"/>
              <w:right w:val="single" w:color="000000" w:sz="8" w:space="0"/>
            </w:tcBorders>
            <w:shd w:val="clear" w:color="auto" w:fill="auto"/>
            <w:noWrap/>
            <w:vAlign w:val="center"/>
          </w:tcPr>
          <w:p w14:paraId="37A554C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68" w:type="pct"/>
            <w:tcBorders>
              <w:top w:val="nil"/>
              <w:left w:val="nil"/>
              <w:bottom w:val="single" w:color="000000" w:sz="8" w:space="0"/>
              <w:right w:val="single" w:color="000000" w:sz="8" w:space="0"/>
            </w:tcBorders>
            <w:shd w:val="clear" w:color="auto" w:fill="auto"/>
            <w:noWrap/>
            <w:vAlign w:val="center"/>
          </w:tcPr>
          <w:p w14:paraId="718B69C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27" w:type="pct"/>
            <w:tcBorders>
              <w:top w:val="nil"/>
              <w:left w:val="nil"/>
              <w:bottom w:val="single" w:color="000000" w:sz="8" w:space="0"/>
              <w:right w:val="single" w:color="000000" w:sz="8" w:space="0"/>
            </w:tcBorders>
            <w:shd w:val="clear" w:color="auto" w:fill="auto"/>
            <w:noWrap/>
            <w:vAlign w:val="center"/>
          </w:tcPr>
          <w:p w14:paraId="1E61239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22" w:type="pct"/>
            <w:tcBorders>
              <w:top w:val="nil"/>
              <w:left w:val="nil"/>
              <w:bottom w:val="single" w:color="000000" w:sz="8" w:space="0"/>
              <w:right w:val="single" w:color="000000" w:sz="8" w:space="0"/>
            </w:tcBorders>
            <w:shd w:val="clear" w:color="auto" w:fill="auto"/>
            <w:noWrap/>
            <w:vAlign w:val="center"/>
          </w:tcPr>
          <w:p w14:paraId="6F1773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06" w:type="pct"/>
            <w:tcBorders>
              <w:top w:val="nil"/>
              <w:left w:val="nil"/>
              <w:bottom w:val="single" w:color="000000" w:sz="8" w:space="0"/>
              <w:right w:val="single" w:color="000000" w:sz="8" w:space="0"/>
            </w:tcBorders>
            <w:shd w:val="clear" w:color="auto" w:fill="auto"/>
            <w:noWrap/>
            <w:vAlign w:val="center"/>
          </w:tcPr>
          <w:p w14:paraId="66E9AFA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179" w:type="pct"/>
            <w:tcBorders>
              <w:top w:val="single" w:color="000000" w:sz="8" w:space="0"/>
              <w:left w:val="nil"/>
              <w:bottom w:val="single" w:color="000000" w:sz="8" w:space="0"/>
              <w:right w:val="single" w:color="000000" w:sz="8" w:space="0"/>
            </w:tcBorders>
            <w:shd w:val="clear" w:color="auto" w:fill="auto"/>
            <w:noWrap/>
            <w:vAlign w:val="center"/>
          </w:tcPr>
          <w:p w14:paraId="63EBCE2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65" w:type="pct"/>
            <w:vMerge w:val="continue"/>
            <w:tcBorders>
              <w:left w:val="nil"/>
              <w:bottom w:val="single" w:color="000000" w:sz="8" w:space="0"/>
              <w:right w:val="single" w:color="000000" w:sz="8" w:space="0"/>
            </w:tcBorders>
            <w:shd w:val="clear" w:color="auto" w:fill="auto"/>
            <w:noWrap/>
            <w:vAlign w:val="center"/>
          </w:tcPr>
          <w:p w14:paraId="4D7503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bottom w:val="single" w:color="000000" w:sz="8" w:space="0"/>
              <w:right w:val="single" w:color="000000" w:sz="8" w:space="0"/>
            </w:tcBorders>
            <w:shd w:val="clear" w:color="auto" w:fill="auto"/>
            <w:noWrap/>
            <w:vAlign w:val="center"/>
          </w:tcPr>
          <w:p w14:paraId="6B86193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bottom w:val="single" w:color="000000" w:sz="8" w:space="0"/>
              <w:right w:val="single" w:color="000000" w:sz="8" w:space="0"/>
            </w:tcBorders>
            <w:shd w:val="clear" w:color="auto" w:fill="auto"/>
            <w:noWrap/>
            <w:vAlign w:val="center"/>
          </w:tcPr>
          <w:p w14:paraId="3256210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1C7E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08" w:type="pct"/>
            <w:vMerge w:val="restart"/>
            <w:tcBorders>
              <w:top w:val="nil"/>
              <w:left w:val="single" w:color="000000" w:sz="8" w:space="0"/>
              <w:right w:val="single" w:color="000000" w:sz="8" w:space="0"/>
            </w:tcBorders>
            <w:shd w:val="clear" w:color="auto" w:fill="auto"/>
            <w:vAlign w:val="center"/>
          </w:tcPr>
          <w:p w14:paraId="488D55A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其他成片开发区</w:t>
            </w:r>
          </w:p>
        </w:tc>
        <w:tc>
          <w:tcPr>
            <w:tcW w:w="267" w:type="pct"/>
            <w:tcBorders>
              <w:top w:val="nil"/>
              <w:left w:val="nil"/>
              <w:bottom w:val="single" w:color="000000" w:sz="8" w:space="0"/>
              <w:right w:val="single" w:color="000000" w:sz="8" w:space="0"/>
            </w:tcBorders>
            <w:shd w:val="clear" w:color="auto" w:fill="auto"/>
            <w:noWrap/>
            <w:vAlign w:val="center"/>
          </w:tcPr>
          <w:p w14:paraId="2E2730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4D7C61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A1BC6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19E7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AD904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C6823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6592F8A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8723A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8BF30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3B468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F032A8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B7020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C36F7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77B658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0.0009</w:t>
            </w:r>
          </w:p>
        </w:tc>
        <w:tc>
          <w:tcPr>
            <w:tcW w:w="344" w:type="pct"/>
            <w:tcBorders>
              <w:top w:val="nil"/>
              <w:left w:val="nil"/>
              <w:bottom w:val="single" w:color="000000" w:sz="8" w:space="0"/>
              <w:right w:val="single" w:color="000000" w:sz="8" w:space="0"/>
            </w:tcBorders>
            <w:shd w:val="clear" w:color="auto" w:fill="auto"/>
            <w:noWrap/>
            <w:vAlign w:val="center"/>
          </w:tcPr>
          <w:p w14:paraId="323F54A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65B4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710BC3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7A5C45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5DB5C64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5DA431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BFBA1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764BC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53" w:type="pct"/>
            <w:tcBorders>
              <w:top w:val="nil"/>
              <w:left w:val="nil"/>
              <w:bottom w:val="single" w:color="000000" w:sz="8" w:space="0"/>
              <w:right w:val="single" w:color="000000" w:sz="8" w:space="0"/>
            </w:tcBorders>
            <w:shd w:val="clear" w:color="auto" w:fill="auto"/>
            <w:noWrap/>
            <w:vAlign w:val="center"/>
          </w:tcPr>
          <w:p w14:paraId="1A9654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4" w:type="pct"/>
            <w:tcBorders>
              <w:top w:val="nil"/>
              <w:left w:val="nil"/>
              <w:bottom w:val="single" w:color="000000" w:sz="8" w:space="0"/>
              <w:right w:val="single" w:color="000000" w:sz="8" w:space="0"/>
            </w:tcBorders>
            <w:shd w:val="clear" w:color="auto" w:fill="auto"/>
            <w:noWrap/>
            <w:vAlign w:val="center"/>
          </w:tcPr>
          <w:p w14:paraId="035649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8C4C6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93B00E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2F29BD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7B7BB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154B2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7085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95" w:type="pct"/>
            <w:tcBorders>
              <w:top w:val="nil"/>
              <w:left w:val="nil"/>
              <w:bottom w:val="single" w:color="000000" w:sz="8" w:space="0"/>
              <w:right w:val="single" w:color="000000" w:sz="8" w:space="0"/>
            </w:tcBorders>
            <w:shd w:val="clear" w:color="auto" w:fill="auto"/>
            <w:noWrap/>
            <w:vAlign w:val="center"/>
          </w:tcPr>
          <w:p w14:paraId="53DD7B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44" w:type="pct"/>
            <w:tcBorders>
              <w:top w:val="nil"/>
              <w:left w:val="nil"/>
              <w:bottom w:val="single" w:color="000000" w:sz="8" w:space="0"/>
              <w:right w:val="single" w:color="000000" w:sz="8" w:space="0"/>
            </w:tcBorders>
            <w:shd w:val="clear" w:color="auto" w:fill="auto"/>
            <w:noWrap/>
            <w:vAlign w:val="center"/>
          </w:tcPr>
          <w:p w14:paraId="250682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100.00</w:t>
            </w:r>
          </w:p>
        </w:tc>
      </w:tr>
      <w:tr w14:paraId="23C8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9866D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EBA51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61" w:type="pct"/>
            <w:tcBorders>
              <w:top w:val="nil"/>
              <w:left w:val="nil"/>
              <w:bottom w:val="single" w:color="000000" w:sz="8" w:space="0"/>
              <w:right w:val="single" w:color="000000" w:sz="8" w:space="0"/>
            </w:tcBorders>
            <w:shd w:val="clear" w:color="auto" w:fill="auto"/>
            <w:noWrap/>
            <w:vAlign w:val="center"/>
          </w:tcPr>
          <w:p w14:paraId="537EED9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29" w:type="pct"/>
            <w:tcBorders>
              <w:top w:val="nil"/>
              <w:left w:val="nil"/>
              <w:bottom w:val="single" w:color="000000" w:sz="8" w:space="0"/>
              <w:right w:val="single" w:color="000000" w:sz="8" w:space="0"/>
            </w:tcBorders>
            <w:shd w:val="clear" w:color="auto" w:fill="auto"/>
            <w:noWrap/>
            <w:vAlign w:val="center"/>
          </w:tcPr>
          <w:p w14:paraId="6A34F2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74374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E45C5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641E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CAA87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539F6B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2BA2D3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098B8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08E0F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1B1836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67594A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395" w:type="pct"/>
            <w:tcBorders>
              <w:top w:val="nil"/>
              <w:left w:val="nil"/>
              <w:bottom w:val="single" w:color="000000" w:sz="8" w:space="0"/>
              <w:right w:val="single" w:color="000000" w:sz="8" w:space="0"/>
            </w:tcBorders>
            <w:shd w:val="clear" w:color="auto" w:fill="auto"/>
            <w:noWrap/>
            <w:vAlign w:val="center"/>
          </w:tcPr>
          <w:p w14:paraId="6CF74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1.9136</w:t>
            </w:r>
          </w:p>
        </w:tc>
        <w:tc>
          <w:tcPr>
            <w:tcW w:w="344" w:type="pct"/>
            <w:tcBorders>
              <w:top w:val="nil"/>
              <w:left w:val="nil"/>
              <w:bottom w:val="single" w:color="000000" w:sz="8" w:space="0"/>
              <w:right w:val="single" w:color="000000" w:sz="8" w:space="0"/>
            </w:tcBorders>
            <w:shd w:val="clear" w:color="auto" w:fill="auto"/>
            <w:noWrap/>
            <w:vAlign w:val="center"/>
          </w:tcPr>
          <w:p w14:paraId="2E0684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75.61</w:t>
            </w:r>
          </w:p>
        </w:tc>
      </w:tr>
      <w:tr w14:paraId="5D9F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97187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1E3C41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61" w:type="pct"/>
            <w:tcBorders>
              <w:top w:val="nil"/>
              <w:left w:val="nil"/>
              <w:bottom w:val="single" w:color="000000" w:sz="8" w:space="0"/>
              <w:right w:val="single" w:color="000000" w:sz="8" w:space="0"/>
            </w:tcBorders>
            <w:shd w:val="clear" w:color="auto" w:fill="auto"/>
            <w:noWrap/>
            <w:vAlign w:val="center"/>
          </w:tcPr>
          <w:p w14:paraId="4B76F9A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29" w:type="pct"/>
            <w:tcBorders>
              <w:top w:val="nil"/>
              <w:left w:val="nil"/>
              <w:bottom w:val="single" w:color="000000" w:sz="8" w:space="0"/>
              <w:right w:val="single" w:color="000000" w:sz="8" w:space="0"/>
            </w:tcBorders>
            <w:shd w:val="clear" w:color="auto" w:fill="auto"/>
            <w:noWrap/>
            <w:vAlign w:val="center"/>
          </w:tcPr>
          <w:p w14:paraId="233CB43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6D27C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0700C4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7B68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AC6D1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BA47D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04D87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222" w:type="pct"/>
            <w:tcBorders>
              <w:top w:val="nil"/>
              <w:left w:val="nil"/>
              <w:bottom w:val="single" w:color="000000" w:sz="8" w:space="0"/>
              <w:right w:val="single" w:color="000000" w:sz="8" w:space="0"/>
            </w:tcBorders>
            <w:shd w:val="clear" w:color="auto" w:fill="auto"/>
            <w:noWrap/>
            <w:vAlign w:val="center"/>
          </w:tcPr>
          <w:p w14:paraId="441507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1FE04F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E7C1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F96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395" w:type="pct"/>
            <w:tcBorders>
              <w:top w:val="nil"/>
              <w:left w:val="nil"/>
              <w:bottom w:val="single" w:color="000000" w:sz="8" w:space="0"/>
              <w:right w:val="single" w:color="000000" w:sz="8" w:space="0"/>
            </w:tcBorders>
            <w:shd w:val="clear" w:color="auto" w:fill="auto"/>
            <w:noWrap/>
            <w:vAlign w:val="center"/>
          </w:tcPr>
          <w:p w14:paraId="2E0850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3.1105</w:t>
            </w:r>
          </w:p>
        </w:tc>
        <w:tc>
          <w:tcPr>
            <w:tcW w:w="344" w:type="pct"/>
            <w:tcBorders>
              <w:top w:val="nil"/>
              <w:left w:val="nil"/>
              <w:bottom w:val="single" w:color="000000" w:sz="8" w:space="0"/>
              <w:right w:val="single" w:color="000000" w:sz="8" w:space="0"/>
            </w:tcBorders>
            <w:shd w:val="clear" w:color="auto" w:fill="auto"/>
            <w:noWrap/>
            <w:vAlign w:val="center"/>
          </w:tcPr>
          <w:p w14:paraId="1EBB89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3.83</w:t>
            </w:r>
          </w:p>
        </w:tc>
      </w:tr>
      <w:tr w14:paraId="7EA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1396E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1E05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61" w:type="pct"/>
            <w:tcBorders>
              <w:top w:val="nil"/>
              <w:left w:val="nil"/>
              <w:bottom w:val="single" w:color="000000" w:sz="8" w:space="0"/>
              <w:right w:val="single" w:color="000000" w:sz="8" w:space="0"/>
            </w:tcBorders>
            <w:shd w:val="clear" w:color="auto" w:fill="auto"/>
            <w:noWrap/>
            <w:vAlign w:val="center"/>
          </w:tcPr>
          <w:p w14:paraId="2E8BE7D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29" w:type="pct"/>
            <w:tcBorders>
              <w:top w:val="nil"/>
              <w:left w:val="nil"/>
              <w:bottom w:val="single" w:color="000000" w:sz="8" w:space="0"/>
              <w:right w:val="single" w:color="000000" w:sz="8" w:space="0"/>
            </w:tcBorders>
            <w:shd w:val="clear" w:color="auto" w:fill="auto"/>
            <w:noWrap/>
            <w:vAlign w:val="center"/>
          </w:tcPr>
          <w:p w14:paraId="4D869A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0CA5A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3A4C6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072EA4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BDB66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8AB02D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1F5A2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222" w:type="pct"/>
            <w:tcBorders>
              <w:top w:val="nil"/>
              <w:left w:val="nil"/>
              <w:bottom w:val="single" w:color="000000" w:sz="8" w:space="0"/>
              <w:right w:val="single" w:color="000000" w:sz="8" w:space="0"/>
            </w:tcBorders>
            <w:shd w:val="clear" w:color="auto" w:fill="auto"/>
            <w:noWrap/>
            <w:vAlign w:val="center"/>
          </w:tcPr>
          <w:p w14:paraId="59DE475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0AD0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3355D3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0208D8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395" w:type="pct"/>
            <w:tcBorders>
              <w:top w:val="nil"/>
              <w:left w:val="nil"/>
              <w:bottom w:val="single" w:color="000000" w:sz="8" w:space="0"/>
              <w:right w:val="single" w:color="000000" w:sz="8" w:space="0"/>
            </w:tcBorders>
            <w:shd w:val="clear" w:color="auto" w:fill="auto"/>
            <w:noWrap/>
            <w:vAlign w:val="center"/>
          </w:tcPr>
          <w:p w14:paraId="28089E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1.0053</w:t>
            </w:r>
          </w:p>
        </w:tc>
        <w:tc>
          <w:tcPr>
            <w:tcW w:w="344" w:type="pct"/>
            <w:tcBorders>
              <w:top w:val="nil"/>
              <w:left w:val="nil"/>
              <w:bottom w:val="single" w:color="000000" w:sz="8" w:space="0"/>
              <w:right w:val="single" w:color="000000" w:sz="8" w:space="0"/>
            </w:tcBorders>
            <w:shd w:val="clear" w:color="auto" w:fill="auto"/>
            <w:noWrap/>
            <w:vAlign w:val="center"/>
          </w:tcPr>
          <w:p w14:paraId="6394CB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84.81</w:t>
            </w:r>
          </w:p>
        </w:tc>
      </w:tr>
      <w:tr w14:paraId="1DFD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08" w:type="pct"/>
            <w:vMerge w:val="continue"/>
            <w:tcBorders>
              <w:left w:val="single" w:color="000000" w:sz="8" w:space="0"/>
              <w:right w:val="single" w:color="000000" w:sz="8" w:space="0"/>
            </w:tcBorders>
            <w:shd w:val="clear" w:color="auto" w:fill="auto"/>
            <w:vAlign w:val="center"/>
          </w:tcPr>
          <w:p w14:paraId="375AE0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2E7A81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61" w:type="pct"/>
            <w:tcBorders>
              <w:top w:val="nil"/>
              <w:left w:val="nil"/>
              <w:bottom w:val="single" w:color="000000" w:sz="8" w:space="0"/>
              <w:right w:val="single" w:color="000000" w:sz="8" w:space="0"/>
            </w:tcBorders>
            <w:shd w:val="clear" w:color="auto" w:fill="auto"/>
            <w:noWrap/>
            <w:vAlign w:val="center"/>
          </w:tcPr>
          <w:p w14:paraId="7A9261B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29" w:type="pct"/>
            <w:tcBorders>
              <w:top w:val="nil"/>
              <w:left w:val="nil"/>
              <w:bottom w:val="single" w:color="000000" w:sz="8" w:space="0"/>
              <w:right w:val="single" w:color="000000" w:sz="8" w:space="0"/>
            </w:tcBorders>
            <w:shd w:val="clear" w:color="auto" w:fill="auto"/>
            <w:noWrap/>
            <w:vAlign w:val="center"/>
          </w:tcPr>
          <w:p w14:paraId="4D2A40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BDB82B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1EF36F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25A8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BBEF9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16773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01EBC3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7BCBAE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A7C82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E82B1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059E84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C4025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344" w:type="pct"/>
            <w:tcBorders>
              <w:top w:val="nil"/>
              <w:left w:val="nil"/>
              <w:bottom w:val="single" w:color="000000" w:sz="8" w:space="0"/>
              <w:right w:val="single" w:color="000000" w:sz="8" w:space="0"/>
            </w:tcBorders>
            <w:shd w:val="clear" w:color="auto" w:fill="auto"/>
            <w:noWrap/>
            <w:vAlign w:val="center"/>
          </w:tcPr>
          <w:p w14:paraId="4C1B38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4AA4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6534A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C2EFA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61" w:type="pct"/>
            <w:tcBorders>
              <w:top w:val="nil"/>
              <w:left w:val="nil"/>
              <w:bottom w:val="single" w:color="000000" w:sz="8" w:space="0"/>
              <w:right w:val="single" w:color="000000" w:sz="8" w:space="0"/>
            </w:tcBorders>
            <w:shd w:val="clear" w:color="auto" w:fill="auto"/>
            <w:noWrap/>
            <w:vAlign w:val="center"/>
          </w:tcPr>
          <w:p w14:paraId="5F01730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29" w:type="pct"/>
            <w:tcBorders>
              <w:top w:val="nil"/>
              <w:left w:val="nil"/>
              <w:bottom w:val="single" w:color="000000" w:sz="8" w:space="0"/>
              <w:right w:val="single" w:color="000000" w:sz="8" w:space="0"/>
            </w:tcBorders>
            <w:shd w:val="clear" w:color="auto" w:fill="auto"/>
            <w:noWrap/>
            <w:vAlign w:val="center"/>
          </w:tcPr>
          <w:p w14:paraId="6FA5D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792121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30897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620A6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743F43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22E867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6E94D5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8E29C5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FF189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0395BC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77039F2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65C18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344" w:type="pct"/>
            <w:tcBorders>
              <w:top w:val="nil"/>
              <w:left w:val="nil"/>
              <w:bottom w:val="single" w:color="000000" w:sz="8" w:space="0"/>
              <w:right w:val="single" w:color="000000" w:sz="8" w:space="0"/>
            </w:tcBorders>
            <w:shd w:val="clear" w:color="auto" w:fill="auto"/>
            <w:noWrap/>
            <w:vAlign w:val="center"/>
          </w:tcPr>
          <w:p w14:paraId="69080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511A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vAlign w:val="center"/>
          </w:tcPr>
          <w:p w14:paraId="2EB21E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ADE518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E9EF1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A9FD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BD0A6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261A558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C4531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6945D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BCFFB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7CEE2E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B196A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D3AE84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29B5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5.5864</w:t>
            </w:r>
          </w:p>
        </w:tc>
        <w:tc>
          <w:tcPr>
            <w:tcW w:w="395" w:type="pct"/>
            <w:tcBorders>
              <w:top w:val="nil"/>
              <w:left w:val="nil"/>
              <w:bottom w:val="single" w:color="000000" w:sz="8" w:space="0"/>
              <w:right w:val="single" w:color="000000" w:sz="8" w:space="0"/>
            </w:tcBorders>
            <w:shd w:val="clear" w:color="auto" w:fill="auto"/>
            <w:noWrap/>
            <w:vAlign w:val="center"/>
          </w:tcPr>
          <w:p w14:paraId="00179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11.6009</w:t>
            </w:r>
          </w:p>
        </w:tc>
        <w:tc>
          <w:tcPr>
            <w:tcW w:w="344" w:type="pct"/>
            <w:tcBorders>
              <w:top w:val="nil"/>
              <w:left w:val="nil"/>
              <w:bottom w:val="single" w:color="000000" w:sz="8" w:space="0"/>
              <w:right w:val="single" w:color="000000" w:sz="8" w:space="0"/>
            </w:tcBorders>
            <w:shd w:val="clear" w:color="auto" w:fill="auto"/>
            <w:noWrap/>
            <w:vAlign w:val="center"/>
          </w:tcPr>
          <w:p w14:paraId="20D538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48.16</w:t>
            </w:r>
          </w:p>
        </w:tc>
      </w:tr>
      <w:tr w14:paraId="0B5A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restart"/>
            <w:tcBorders>
              <w:top w:val="nil"/>
              <w:left w:val="single" w:color="000000" w:sz="8" w:space="0"/>
              <w:right w:val="single" w:color="000000" w:sz="8" w:space="0"/>
            </w:tcBorders>
            <w:shd w:val="clear" w:color="auto" w:fill="auto"/>
            <w:vAlign w:val="center"/>
          </w:tcPr>
          <w:p w14:paraId="44C458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开发区</w:t>
            </w:r>
          </w:p>
        </w:tc>
        <w:tc>
          <w:tcPr>
            <w:tcW w:w="267" w:type="pct"/>
            <w:tcBorders>
              <w:top w:val="nil"/>
              <w:left w:val="nil"/>
              <w:bottom w:val="single" w:color="000000" w:sz="8" w:space="0"/>
              <w:right w:val="single" w:color="000000" w:sz="8" w:space="0"/>
            </w:tcBorders>
            <w:shd w:val="clear" w:color="auto" w:fill="auto"/>
            <w:noWrap/>
            <w:vAlign w:val="center"/>
          </w:tcPr>
          <w:p w14:paraId="6041DD3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61" w:type="pct"/>
            <w:tcBorders>
              <w:top w:val="nil"/>
              <w:left w:val="nil"/>
              <w:bottom w:val="single" w:color="000000" w:sz="8" w:space="0"/>
              <w:right w:val="single" w:color="000000" w:sz="8" w:space="0"/>
            </w:tcBorders>
            <w:shd w:val="clear" w:color="auto" w:fill="auto"/>
            <w:noWrap/>
            <w:vAlign w:val="center"/>
          </w:tcPr>
          <w:p w14:paraId="5927243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29" w:type="pct"/>
            <w:tcBorders>
              <w:top w:val="nil"/>
              <w:left w:val="nil"/>
              <w:bottom w:val="single" w:color="000000" w:sz="8" w:space="0"/>
              <w:right w:val="single" w:color="000000" w:sz="8" w:space="0"/>
            </w:tcBorders>
            <w:shd w:val="clear" w:color="auto" w:fill="auto"/>
            <w:noWrap/>
            <w:vAlign w:val="center"/>
          </w:tcPr>
          <w:p w14:paraId="0FC842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832B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47633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2F9D9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2C627C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1F710CF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38E23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68A12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33F97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61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022DF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656BEA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344" w:type="pct"/>
            <w:tcBorders>
              <w:top w:val="single" w:color="000000" w:sz="8" w:space="0"/>
              <w:left w:val="nil"/>
              <w:bottom w:val="single" w:color="000000" w:sz="8" w:space="0"/>
              <w:right w:val="single" w:color="000000" w:sz="8" w:space="0"/>
            </w:tcBorders>
            <w:shd w:val="clear" w:color="auto" w:fill="auto"/>
            <w:noWrap/>
            <w:vAlign w:val="center"/>
          </w:tcPr>
          <w:p w14:paraId="67D73A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7EBA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vAlign w:val="center"/>
          </w:tcPr>
          <w:p w14:paraId="7A37CE7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0E6A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1D3606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2C533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A97D7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9123D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0D54AC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C468A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268" w:type="pct"/>
            <w:tcBorders>
              <w:top w:val="nil"/>
              <w:left w:val="nil"/>
              <w:bottom w:val="single" w:color="000000" w:sz="8" w:space="0"/>
              <w:right w:val="single" w:color="000000" w:sz="8" w:space="0"/>
            </w:tcBorders>
            <w:shd w:val="clear" w:color="auto" w:fill="auto"/>
            <w:noWrap/>
            <w:vAlign w:val="center"/>
          </w:tcPr>
          <w:p w14:paraId="68A573F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E39FC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1DA9A6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6AB07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04D7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32047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395" w:type="pct"/>
            <w:tcBorders>
              <w:top w:val="nil"/>
              <w:left w:val="nil"/>
              <w:bottom w:val="single" w:color="000000" w:sz="8" w:space="0"/>
              <w:right w:val="single" w:color="000000" w:sz="8" w:space="0"/>
            </w:tcBorders>
            <w:shd w:val="clear" w:color="auto" w:fill="auto"/>
            <w:noWrap/>
            <w:vAlign w:val="center"/>
          </w:tcPr>
          <w:p w14:paraId="451F3D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36.5663</w:t>
            </w:r>
          </w:p>
        </w:tc>
        <w:tc>
          <w:tcPr>
            <w:tcW w:w="344" w:type="pct"/>
            <w:tcBorders>
              <w:top w:val="nil"/>
              <w:left w:val="nil"/>
              <w:bottom w:val="single" w:color="000000" w:sz="8" w:space="0"/>
              <w:right w:val="single" w:color="000000" w:sz="8" w:space="0"/>
            </w:tcBorders>
            <w:shd w:val="clear" w:color="auto" w:fill="auto"/>
            <w:noWrap/>
            <w:vAlign w:val="center"/>
          </w:tcPr>
          <w:p w14:paraId="2E73CC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6.63</w:t>
            </w:r>
          </w:p>
        </w:tc>
      </w:tr>
      <w:tr w14:paraId="7F6B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301B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845D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0D0D34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3C64360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44264A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B47D2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33379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35A7C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4.9348</w:t>
            </w:r>
          </w:p>
        </w:tc>
        <w:tc>
          <w:tcPr>
            <w:tcW w:w="268" w:type="pct"/>
            <w:tcBorders>
              <w:top w:val="nil"/>
              <w:left w:val="nil"/>
              <w:bottom w:val="single" w:color="000000" w:sz="8" w:space="0"/>
              <w:right w:val="single" w:color="000000" w:sz="8" w:space="0"/>
            </w:tcBorders>
            <w:shd w:val="clear" w:color="auto" w:fill="auto"/>
            <w:noWrap/>
            <w:vAlign w:val="center"/>
          </w:tcPr>
          <w:p w14:paraId="4D5B27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5194A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8ADE6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18479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4B6BE3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1B25B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13.4503</w:t>
            </w:r>
          </w:p>
        </w:tc>
        <w:tc>
          <w:tcPr>
            <w:tcW w:w="395" w:type="pct"/>
            <w:tcBorders>
              <w:top w:val="nil"/>
              <w:left w:val="nil"/>
              <w:bottom w:val="single" w:color="000000" w:sz="8" w:space="0"/>
              <w:right w:val="single" w:color="000000" w:sz="8" w:space="0"/>
            </w:tcBorders>
            <w:shd w:val="clear" w:color="auto" w:fill="auto"/>
            <w:noWrap/>
            <w:vAlign w:val="center"/>
          </w:tcPr>
          <w:p w14:paraId="5F4BB3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13.6793</w:t>
            </w:r>
          </w:p>
        </w:tc>
        <w:tc>
          <w:tcPr>
            <w:tcW w:w="344" w:type="pct"/>
            <w:tcBorders>
              <w:top w:val="nil"/>
              <w:left w:val="nil"/>
              <w:bottom w:val="single" w:color="000000" w:sz="8" w:space="0"/>
              <w:right w:val="single" w:color="000000" w:sz="8" w:space="0"/>
            </w:tcBorders>
            <w:shd w:val="clear" w:color="auto" w:fill="auto"/>
            <w:noWrap/>
            <w:vAlign w:val="center"/>
          </w:tcPr>
          <w:p w14:paraId="3B1DE4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98.33</w:t>
            </w:r>
          </w:p>
        </w:tc>
      </w:tr>
      <w:tr w14:paraId="1AE8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754D9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9772E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D0A08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3FF8C0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1A2F2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EFA0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149210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7.3574</w:t>
            </w:r>
          </w:p>
        </w:tc>
        <w:tc>
          <w:tcPr>
            <w:tcW w:w="268" w:type="pct"/>
            <w:tcBorders>
              <w:top w:val="nil"/>
              <w:left w:val="nil"/>
              <w:bottom w:val="single" w:color="000000" w:sz="8" w:space="0"/>
              <w:right w:val="single" w:color="000000" w:sz="8" w:space="0"/>
            </w:tcBorders>
            <w:shd w:val="clear" w:color="auto" w:fill="auto"/>
            <w:noWrap/>
            <w:vAlign w:val="center"/>
          </w:tcPr>
          <w:p w14:paraId="6A2434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45E81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7C8B2E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8E5DD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C8894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D756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15.8729</w:t>
            </w:r>
          </w:p>
        </w:tc>
        <w:tc>
          <w:tcPr>
            <w:tcW w:w="395" w:type="pct"/>
            <w:tcBorders>
              <w:top w:val="nil"/>
              <w:left w:val="nil"/>
              <w:bottom w:val="single" w:color="000000" w:sz="8" w:space="0"/>
              <w:right w:val="single" w:color="000000" w:sz="8" w:space="0"/>
            </w:tcBorders>
            <w:shd w:val="clear" w:color="auto" w:fill="auto"/>
            <w:noWrap/>
            <w:vAlign w:val="center"/>
          </w:tcPr>
          <w:p w14:paraId="050888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54.4983</w:t>
            </w:r>
          </w:p>
        </w:tc>
        <w:tc>
          <w:tcPr>
            <w:tcW w:w="344" w:type="pct"/>
            <w:tcBorders>
              <w:top w:val="nil"/>
              <w:left w:val="nil"/>
              <w:bottom w:val="single" w:color="000000" w:sz="8" w:space="0"/>
              <w:right w:val="single" w:color="000000" w:sz="8" w:space="0"/>
            </w:tcBorders>
            <w:shd w:val="clear" w:color="auto" w:fill="auto"/>
            <w:noWrap/>
            <w:vAlign w:val="center"/>
          </w:tcPr>
          <w:p w14:paraId="627BFD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29.13</w:t>
            </w:r>
          </w:p>
        </w:tc>
      </w:tr>
      <w:tr w14:paraId="6BF7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pct"/>
            <w:gridSpan w:val="3"/>
            <w:tcBorders>
              <w:top w:val="nil"/>
              <w:left w:val="single" w:color="000000" w:sz="8" w:space="0"/>
              <w:bottom w:val="single" w:color="000000" w:sz="8" w:space="0"/>
              <w:right w:val="single" w:color="000000" w:sz="8" w:space="0"/>
            </w:tcBorders>
            <w:shd w:val="clear" w:color="auto" w:fill="auto"/>
            <w:noWrap/>
            <w:vAlign w:val="center"/>
          </w:tcPr>
          <w:p w14:paraId="4E1533E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29" w:type="pct"/>
            <w:tcBorders>
              <w:top w:val="nil"/>
              <w:left w:val="nil"/>
              <w:bottom w:val="single" w:color="000000" w:sz="8" w:space="0"/>
              <w:right w:val="single" w:color="000000" w:sz="8" w:space="0"/>
            </w:tcBorders>
            <w:shd w:val="clear" w:color="auto" w:fill="auto"/>
            <w:noWrap/>
            <w:vAlign w:val="center"/>
          </w:tcPr>
          <w:p w14:paraId="17A5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5F9382C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711A00C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3F584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5E4C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8.8043</w:t>
            </w:r>
          </w:p>
        </w:tc>
        <w:tc>
          <w:tcPr>
            <w:tcW w:w="268" w:type="pct"/>
            <w:tcBorders>
              <w:top w:val="nil"/>
              <w:left w:val="nil"/>
              <w:bottom w:val="single" w:color="000000" w:sz="8" w:space="0"/>
              <w:right w:val="single" w:color="000000" w:sz="8" w:space="0"/>
            </w:tcBorders>
            <w:shd w:val="clear" w:color="auto" w:fill="auto"/>
            <w:noWrap/>
            <w:vAlign w:val="center"/>
          </w:tcPr>
          <w:p w14:paraId="015FE0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20926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04595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6093A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2B6BF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95562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21.4593</w:t>
            </w:r>
          </w:p>
        </w:tc>
        <w:tc>
          <w:tcPr>
            <w:tcW w:w="395" w:type="pct"/>
            <w:tcBorders>
              <w:top w:val="nil"/>
              <w:left w:val="nil"/>
              <w:bottom w:val="single" w:color="000000" w:sz="8" w:space="0"/>
              <w:right w:val="single" w:color="000000" w:sz="8" w:space="0"/>
            </w:tcBorders>
            <w:shd w:val="clear" w:color="auto" w:fill="auto"/>
            <w:noWrap/>
            <w:vAlign w:val="center"/>
          </w:tcPr>
          <w:p w14:paraId="08CACB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66.0992</w:t>
            </w:r>
          </w:p>
        </w:tc>
        <w:tc>
          <w:tcPr>
            <w:tcW w:w="344" w:type="pct"/>
            <w:tcBorders>
              <w:top w:val="nil"/>
              <w:left w:val="nil"/>
              <w:bottom w:val="single" w:color="000000" w:sz="8" w:space="0"/>
              <w:right w:val="single" w:color="000000" w:sz="8" w:space="0"/>
            </w:tcBorders>
            <w:shd w:val="clear" w:color="auto" w:fill="auto"/>
            <w:noWrap/>
            <w:vAlign w:val="center"/>
          </w:tcPr>
          <w:p w14:paraId="7A438D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32.47</w:t>
            </w:r>
          </w:p>
        </w:tc>
      </w:tr>
      <w:tr w14:paraId="479E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6"/>
            <w:tcBorders>
              <w:top w:val="nil"/>
              <w:left w:val="single" w:color="000000" w:sz="8" w:space="0"/>
              <w:bottom w:val="single" w:color="000000" w:sz="8" w:space="0"/>
              <w:right w:val="single" w:color="000000" w:sz="8" w:space="0"/>
            </w:tcBorders>
            <w:shd w:val="clear" w:color="auto" w:fill="auto"/>
            <w:noWrap/>
            <w:vAlign w:val="center"/>
          </w:tcPr>
          <w:p w14:paraId="4C5B32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备注：公益用地面积由高平市</w:t>
            </w:r>
            <w:r>
              <w:rPr>
                <w:rFonts w:hint="default" w:ascii="Times New Roman" w:hAnsi="Times New Roman" w:eastAsia="仿宋" w:cs="Times New Roman"/>
                <w:i w:val="0"/>
                <w:iCs w:val="0"/>
                <w:color w:val="000000"/>
                <w:kern w:val="0"/>
                <w:sz w:val="21"/>
                <w:szCs w:val="21"/>
                <w:u w:val="none"/>
                <w:lang w:val="en-US" w:eastAsia="zh-CN" w:bidi="ar"/>
              </w:rPr>
              <w:t>2023</w:t>
            </w:r>
            <w:r>
              <w:rPr>
                <w:rFonts w:hint="eastAsia" w:ascii="Times New Roman" w:hAnsi="Times New Roman" w:eastAsia="仿宋" w:cs="Times New Roman"/>
                <w:i w:val="0"/>
                <w:iCs w:val="0"/>
                <w:color w:val="000000"/>
                <w:kern w:val="0"/>
                <w:sz w:val="21"/>
                <w:szCs w:val="21"/>
                <w:u w:val="none"/>
                <w:lang w:val="en-US" w:eastAsia="zh-CN" w:bidi="ar"/>
              </w:rPr>
              <w:t>年度国土变更调查数据的公益用地和新增公益项目统计。</w:t>
            </w:r>
          </w:p>
        </w:tc>
      </w:tr>
    </w:tbl>
    <w:p w14:paraId="4AA8684C">
      <w:pPr>
        <w:spacing w:line="240" w:lineRule="auto"/>
        <w:jc w:val="left"/>
        <w:rPr>
          <w:rFonts w:hint="default" w:ascii="Times New Roman" w:hAnsi="Times New Roman" w:eastAsia="仿宋" w:cs="Times New Roman"/>
          <w:sz w:val="24"/>
          <w:szCs w:val="24"/>
          <w:lang w:val="en-US" w:eastAsia="zh-CN" w:bidi="ar-SA"/>
        </w:rPr>
      </w:pPr>
    </w:p>
    <w:p w14:paraId="457CB8DD">
      <w:pPr>
        <w:rPr>
          <w:rFonts w:hint="default"/>
          <w:lang w:val="en-US" w:eastAsia="zh-CN"/>
        </w:rPr>
      </w:pPr>
    </w:p>
    <w:p w14:paraId="00C2E1EE">
      <w:pPr>
        <w:rPr>
          <w:rFonts w:hint="default"/>
          <w:lang w:val="en-US" w:eastAsia="zh-CN"/>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50BF49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三甲南片区</w:t>
      </w:r>
      <w:r>
        <w:rPr>
          <w:rFonts w:hint="eastAsia" w:ascii="Times New Roman" w:hAnsi="Times New Roman" w:eastAsia="仿宋" w:cs="Times New Roman"/>
          <w:sz w:val="28"/>
          <w:szCs w:val="28"/>
          <w:highlight w:val="none"/>
          <w:lang w:val="en-US" w:eastAsia="zh-CN"/>
        </w:rPr>
        <w:t>片区面积4.2528公顷，片区内无公益性用地，公益性比例为0。</w:t>
      </w:r>
    </w:p>
    <w:p w14:paraId="3E3AC85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米山北工业片区</w:t>
      </w:r>
      <w:r>
        <w:rPr>
          <w:rFonts w:hint="eastAsia" w:ascii="Times New Roman" w:hAnsi="Times New Roman" w:eastAsia="仿宋" w:cs="Times New Roman"/>
          <w:sz w:val="28"/>
          <w:szCs w:val="28"/>
          <w:highlight w:val="none"/>
          <w:lang w:val="en-US" w:eastAsia="zh-CN"/>
        </w:rPr>
        <w:t>部分位于开发区外，开发区外面积0.0009公顷，片区内无公益性用地，公益性比例为0；部分位于开发区内，开发区内面积36.5663公顷，片区内公益性用地2.4226公顷（全部为原有公益性用地），公益性比例为6.63%。</w:t>
      </w:r>
    </w:p>
    <w:p w14:paraId="39A65CF8">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米山道路片区</w:t>
      </w:r>
      <w:r>
        <w:rPr>
          <w:rFonts w:hint="eastAsia" w:ascii="Times New Roman" w:hAnsi="Times New Roman" w:eastAsia="仿宋" w:cs="Times New Roman"/>
          <w:sz w:val="28"/>
          <w:szCs w:val="28"/>
          <w:highlight w:val="none"/>
          <w:lang w:val="en-US" w:eastAsia="zh-CN"/>
        </w:rPr>
        <w:t>部分位于开发区外，开发区外面积3.1678公顷，片区内公益性用地3.1678公顷（全部为原有公益性用地），公益性比例为100%；部分位于开发区内，开发区内面积13.6793公顷，片区内公益性用地13.4503公顷（全部为原有公益性用地），公益性比例为95.33%。</w:t>
      </w:r>
    </w:p>
    <w:p w14:paraId="59EC44B2">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高铁新区A片区</w:t>
      </w:r>
      <w:r>
        <w:rPr>
          <w:rFonts w:hint="eastAsia" w:ascii="Times New Roman" w:hAnsi="Times New Roman" w:eastAsia="仿宋" w:cs="Times New Roman"/>
          <w:sz w:val="28"/>
          <w:szCs w:val="28"/>
          <w:highlight w:val="none"/>
          <w:lang w:val="en-US" w:eastAsia="zh-CN"/>
        </w:rPr>
        <w:t>面积1.9136公顷，片区内公益性用地1.4468公顷（全部为原有公益性用地），公益性比例为75.61%。</w:t>
      </w:r>
    </w:p>
    <w:p w14:paraId="12101746">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苏庄商业片区1</w:t>
      </w:r>
      <w:r>
        <w:rPr>
          <w:rFonts w:hint="eastAsia" w:ascii="Times New Roman" w:hAnsi="Times New Roman" w:eastAsia="仿宋" w:cs="Times New Roman"/>
          <w:sz w:val="28"/>
          <w:szCs w:val="28"/>
          <w:highlight w:val="none"/>
          <w:lang w:val="en-US" w:eastAsia="zh-CN"/>
        </w:rPr>
        <w:t>面积3.1105公顷，片区内公益性用地0.1192公顷（全部为原有公益性用地），公益性比例为3.83%。</w:t>
      </w:r>
    </w:p>
    <w:p w14:paraId="0E13676E">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苏庄商业片区2</w:t>
      </w:r>
      <w:r>
        <w:rPr>
          <w:rFonts w:hint="eastAsia" w:ascii="Times New Roman" w:hAnsi="Times New Roman" w:eastAsia="仿宋" w:cs="Times New Roman"/>
          <w:sz w:val="28"/>
          <w:szCs w:val="28"/>
          <w:highlight w:val="none"/>
          <w:lang w:val="en-US" w:eastAsia="zh-CN"/>
        </w:rPr>
        <w:t>面积1.0053公顷，片区内公益性用地0.8525公顷（全部为原有公益性用地），公益性比例为84.81%。</w:t>
      </w:r>
    </w:p>
    <w:p w14:paraId="6196191D">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许庄物流片区</w:t>
      </w:r>
      <w:r>
        <w:rPr>
          <w:rFonts w:hint="eastAsia" w:ascii="Times New Roman" w:hAnsi="Times New Roman" w:eastAsia="仿宋" w:cs="Times New Roman"/>
          <w:sz w:val="28"/>
          <w:szCs w:val="28"/>
          <w:highlight w:val="none"/>
          <w:lang w:val="en-US" w:eastAsia="zh-CN"/>
        </w:rPr>
        <w:t>面积2.1951公顷，片区内无公益性用地，公益性比例为0。</w:t>
      </w:r>
    </w:p>
    <w:p w14:paraId="6E28AECC">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建宁商业片区</w:t>
      </w:r>
      <w:r>
        <w:rPr>
          <w:rFonts w:hint="eastAsia" w:ascii="Times New Roman" w:hAnsi="Times New Roman" w:eastAsia="仿宋" w:cs="Times New Roman"/>
          <w:sz w:val="28"/>
          <w:szCs w:val="28"/>
          <w:highlight w:val="none"/>
          <w:lang w:val="en-US" w:eastAsia="zh-CN"/>
        </w:rPr>
        <w:t>面积0.2077公顷，片区内无公益性用地，公益性比例为0。</w:t>
      </w:r>
    </w:p>
    <w:p w14:paraId="352DE2C6">
      <w:pPr>
        <w:pStyle w:val="3"/>
        <w:numPr>
          <w:ilvl w:val="1"/>
          <w:numId w:val="0"/>
        </w:numPr>
        <w:tabs>
          <w:tab w:val="clear" w:pos="420"/>
        </w:tabs>
        <w:bidi w:val="0"/>
        <w:ind w:left="575" w:leftChars="0" w:hanging="575" w:firstLineChars="0"/>
        <w:rPr>
          <w:rFonts w:hint="default"/>
          <w:sz w:val="32"/>
          <w:szCs w:val="32"/>
          <w:lang w:val="en-US" w:eastAsia="zh-CN"/>
        </w:rPr>
      </w:pPr>
      <w:bookmarkStart w:id="54" w:name="_Toc519"/>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5</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永久基本农田</w:t>
      </w:r>
      <w:bookmarkEnd w:id="54"/>
    </w:p>
    <w:p w14:paraId="4C2BF75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本方案不占用永久基本农田。</w:t>
      </w:r>
    </w:p>
    <w:p w14:paraId="3B1D622F">
      <w:pPr>
        <w:pStyle w:val="3"/>
        <w:numPr>
          <w:ilvl w:val="1"/>
          <w:numId w:val="0"/>
        </w:numPr>
        <w:tabs>
          <w:tab w:val="clear" w:pos="420"/>
        </w:tabs>
        <w:bidi w:val="0"/>
        <w:ind w:left="575" w:leftChars="0" w:hanging="575" w:firstLineChars="0"/>
        <w:rPr>
          <w:rFonts w:hint="default"/>
          <w:color w:val="auto"/>
          <w:sz w:val="32"/>
          <w:szCs w:val="32"/>
          <w:highlight w:val="none"/>
          <w:lang w:val="en-US" w:eastAsia="zh-CN"/>
        </w:rPr>
      </w:pPr>
      <w:bookmarkStart w:id="55" w:name="_Toc13219"/>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6</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批而未供和闲置土地情况</w:t>
      </w:r>
      <w:bookmarkEnd w:id="50"/>
      <w:bookmarkEnd w:id="51"/>
      <w:bookmarkEnd w:id="52"/>
      <w:bookmarkEnd w:id="55"/>
    </w:p>
    <w:p w14:paraId="591407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2023年高平市批而未供需处置656.91亩。年度完成595.64亩，完成年度任务的90.67%。</w:t>
      </w:r>
    </w:p>
    <w:p w14:paraId="44FAE5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2023年高平市闲置土地处置任务量为4.48亩，未完成，2025年3月底前完成处置任务</w:t>
      </w:r>
      <w:r>
        <w:rPr>
          <w:rFonts w:hint="default" w:ascii="Times New Roman" w:hAnsi="Times New Roman" w:eastAsia="仿宋" w:cs="Times New Roman"/>
          <w:color w:val="auto"/>
          <w:sz w:val="28"/>
          <w:szCs w:val="28"/>
          <w:highlight w:val="none"/>
          <w:lang w:val="en-US" w:eastAsia="zh-CN"/>
        </w:rPr>
        <w:t>。</w:t>
      </w:r>
    </w:p>
    <w:p w14:paraId="6398B340">
      <w:pPr>
        <w:pStyle w:val="3"/>
        <w:numPr>
          <w:ilvl w:val="1"/>
          <w:numId w:val="0"/>
        </w:numPr>
        <w:tabs>
          <w:tab w:val="clear" w:pos="420"/>
        </w:tabs>
        <w:bidi w:val="0"/>
        <w:ind w:left="575" w:leftChars="0" w:hanging="575" w:firstLineChars="0"/>
        <w:rPr>
          <w:rFonts w:hint="default"/>
          <w:sz w:val="32"/>
          <w:szCs w:val="32"/>
          <w:highlight w:val="none"/>
        </w:rPr>
      </w:pPr>
      <w:bookmarkStart w:id="56" w:name="_Toc32695"/>
      <w:r>
        <w:rPr>
          <w:rFonts w:hint="eastAsia" w:ascii="Times New Roman" w:hAnsi="Times New Roman" w:eastAsia="仿宋" w:cs="Times New Roman"/>
          <w:b/>
          <w:bCs/>
          <w:kern w:val="2"/>
          <w:sz w:val="32"/>
          <w:szCs w:val="32"/>
          <w:highlight w:val="none"/>
          <w:lang w:val="en-US" w:eastAsia="zh-CN"/>
        </w:rPr>
        <w:t>6.</w:t>
      </w:r>
      <w:r>
        <w:rPr>
          <w:rFonts w:hint="eastAsia" w:cs="Times New Roman"/>
          <w:b/>
          <w:bCs/>
          <w:kern w:val="2"/>
          <w:sz w:val="32"/>
          <w:szCs w:val="32"/>
          <w:highlight w:val="none"/>
          <w:lang w:val="en-US" w:eastAsia="zh-CN"/>
        </w:rPr>
        <w:t>7</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开发区</w:t>
      </w:r>
      <w:r>
        <w:rPr>
          <w:rFonts w:hint="default"/>
          <w:sz w:val="32"/>
          <w:szCs w:val="32"/>
          <w:highlight w:val="none"/>
        </w:rPr>
        <w:t>土地利用效率情况</w:t>
      </w:r>
      <w:bookmarkEnd w:id="56"/>
    </w:p>
    <w:p w14:paraId="223C96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本《方案》</w:t>
      </w:r>
      <w:r>
        <w:rPr>
          <w:rFonts w:hint="eastAsia" w:ascii="Times New Roman" w:hAnsi="Times New Roman" w:eastAsia="仿宋" w:cs="Times New Roman"/>
          <w:color w:val="auto"/>
          <w:sz w:val="28"/>
          <w:szCs w:val="28"/>
          <w:lang w:val="en-US" w:eastAsia="zh-CN"/>
        </w:rPr>
        <w:t>涉及的众禾周边地块征地和米山园区职工宿舍项目的投资强度在200万元/亩以上，米A征地（泫氏铸管）1、米A征地（泫氏铸管）2项目的投资强度在400万元/亩以上。符合省级工业类开发区新上工业项目的投资强度不低于200万元/亩的要求</w:t>
      </w:r>
      <w:r>
        <w:rPr>
          <w:rFonts w:hint="default" w:ascii="Times New Roman" w:hAnsi="Times New Roman" w:eastAsia="仿宋" w:cs="Times New Roman"/>
          <w:color w:val="auto"/>
          <w:sz w:val="28"/>
          <w:szCs w:val="28"/>
          <w:lang w:val="en-US" w:eastAsia="zh-CN"/>
        </w:rPr>
        <w:t>。</w:t>
      </w:r>
    </w:p>
    <w:p w14:paraId="3E52EA59">
      <w:pPr>
        <w:pStyle w:val="3"/>
        <w:numPr>
          <w:ilvl w:val="1"/>
          <w:numId w:val="0"/>
        </w:numPr>
        <w:tabs>
          <w:tab w:val="clear" w:pos="420"/>
        </w:tabs>
        <w:bidi w:val="0"/>
        <w:ind w:left="575" w:leftChars="0" w:hanging="575" w:firstLineChars="0"/>
        <w:rPr>
          <w:rFonts w:hint="default"/>
          <w:color w:val="auto"/>
          <w:sz w:val="32"/>
          <w:szCs w:val="32"/>
          <w:lang w:val="en-US" w:eastAsia="zh-CN"/>
        </w:rPr>
      </w:pPr>
      <w:bookmarkStart w:id="57" w:name="_Toc57365274"/>
      <w:bookmarkStart w:id="58" w:name="_Toc16372"/>
      <w:bookmarkStart w:id="59" w:name="_Toc17924"/>
      <w:bookmarkStart w:id="60" w:name="_Toc32512"/>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8</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已批准土地征收成片开发方案实施情况</w:t>
      </w:r>
      <w:bookmarkEnd w:id="57"/>
      <w:bookmarkEnd w:id="58"/>
      <w:bookmarkEnd w:id="59"/>
      <w:bookmarkEnd w:id="60"/>
    </w:p>
    <w:p w14:paraId="54ED12B7">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20057C88">
      <w:pPr>
        <w:spacing w:line="240" w:lineRule="auto"/>
        <w:ind w:firstLine="640"/>
        <w:rPr>
          <w:rFonts w:hint="default" w:ascii="Times New Roman" w:hAnsi="Times New Roman" w:eastAsia="仿宋" w:cs="Times New Roman"/>
          <w:color w:val="FF0000"/>
          <w:sz w:val="28"/>
          <w:szCs w:val="28"/>
          <w:lang w:val="en-US" w:eastAsia="zh-CN"/>
        </w:rPr>
      </w:pPr>
      <w:bookmarkStart w:id="61" w:name="_Toc26568"/>
      <w:bookmarkStart w:id="62" w:name="_Toc32393"/>
    </w:p>
    <w:p w14:paraId="6DA4470B">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3E838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iCs w:val="0"/>
          <w:snapToGrid w:val="0"/>
          <w:color w:val="000000"/>
          <w:kern w:val="0"/>
          <w:sz w:val="24"/>
          <w:szCs w:val="24"/>
          <w:u w:val="none"/>
          <w:lang w:val="en-US" w:eastAsia="zh-CN" w:bidi="ar"/>
        </w:rPr>
        <w:sectPr>
          <w:footerReference r:id="rId7"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1DA9A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i w:val="0"/>
          <w:iCs w:val="0"/>
          <w:snapToGrid w:val="0"/>
          <w:color w:val="000000"/>
          <w:kern w:val="0"/>
          <w:sz w:val="24"/>
          <w:szCs w:val="24"/>
          <w:u w:val="none"/>
          <w:lang w:val="en-US" w:eastAsia="zh-CN"/>
        </w:rPr>
      </w:pPr>
      <w:r>
        <w:rPr>
          <w:rFonts w:hint="default" w:ascii="Times New Roman" w:hAnsi="Times New Roman" w:eastAsia="仿宋" w:cs="Times New Roman"/>
          <w:b w:val="0"/>
          <w:bCs w:val="0"/>
          <w:i w:val="0"/>
          <w:iCs w:val="0"/>
          <w:snapToGrid w:val="0"/>
          <w:color w:val="000000"/>
          <w:kern w:val="0"/>
          <w:sz w:val="24"/>
          <w:szCs w:val="24"/>
          <w:u w:val="none"/>
          <w:lang w:val="en-US" w:eastAsia="zh-CN" w:bidi="ar"/>
        </w:rPr>
        <w:t>表6-</w:t>
      </w:r>
      <w:r>
        <w:rPr>
          <w:rFonts w:hint="eastAsia" w:ascii="Times New Roman" w:hAnsi="Times New Roman" w:eastAsia="仿宋" w:cs="Times New Roman"/>
          <w:b w:val="0"/>
          <w:bCs w:val="0"/>
          <w:i w:val="0"/>
          <w:iCs w:val="0"/>
          <w:snapToGrid w:val="0"/>
          <w:color w:val="000000"/>
          <w:kern w:val="0"/>
          <w:sz w:val="24"/>
          <w:szCs w:val="24"/>
          <w:u w:val="none"/>
          <w:lang w:val="en-US" w:eastAsia="zh-CN" w:bidi="ar"/>
        </w:rPr>
        <w:t>2</w:t>
      </w:r>
      <w:r>
        <w:rPr>
          <w:rFonts w:hint="default" w:ascii="Times New Roman" w:hAnsi="Times New Roman" w:eastAsia="仿宋" w:cs="Times New Roman"/>
          <w:b w:val="0"/>
          <w:bCs w:val="0"/>
          <w:i w:val="0"/>
          <w:iCs w:val="0"/>
          <w:snapToGrid w:val="0"/>
          <w:color w:val="000000"/>
          <w:kern w:val="0"/>
          <w:sz w:val="24"/>
          <w:szCs w:val="24"/>
          <w:u w:val="none"/>
          <w:lang w:val="en-US" w:eastAsia="zh-CN" w:bidi="ar"/>
        </w:rPr>
        <w:t xml:space="preserve"> 《高平市2022-2023年土地征收成片开发调整方案》项目用地开发时序及实施情况表</w:t>
      </w:r>
    </w:p>
    <w:p w14:paraId="4B3EC899">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i w:val="0"/>
          <w:iCs w:val="0"/>
          <w:snapToGrid w:val="0"/>
          <w:color w:val="000000"/>
          <w:kern w:val="0"/>
          <w:sz w:val="24"/>
          <w:szCs w:val="24"/>
          <w:u w:val="none"/>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rPr>
        <w:t>单位： 公顷</w:t>
      </w:r>
    </w:p>
    <w:tbl>
      <w:tblPr>
        <w:tblStyle w:val="1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9"/>
        <w:gridCol w:w="2669"/>
        <w:gridCol w:w="1502"/>
        <w:gridCol w:w="1261"/>
        <w:gridCol w:w="3558"/>
        <w:gridCol w:w="1337"/>
        <w:gridCol w:w="1354"/>
        <w:gridCol w:w="1323"/>
      </w:tblGrid>
      <w:tr w14:paraId="4772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314">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片区序号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05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成片开发范围名称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C3D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地块</w:t>
            </w:r>
          </w:p>
          <w:p w14:paraId="1C0091F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编号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4B8">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项目序号</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ABBB">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建设项目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AB09">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实施年度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D3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w:t>
            </w:r>
            <w:r>
              <w:rPr>
                <w:rFonts w:hint="default" w:ascii="Times New Roman" w:hAnsi="Times New Roman" w:eastAsia="仿宋" w:cs="Times New Roman"/>
                <w:b/>
                <w:bCs/>
                <w:i w:val="0"/>
                <w:iCs w:val="0"/>
                <w:color w:val="auto"/>
                <w:sz w:val="21"/>
                <w:szCs w:val="21"/>
                <w:u w:val="none"/>
                <w:lang w:val="en-US" w:eastAsia="zh-CN"/>
              </w:rPr>
              <w:t>面积</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E046">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实施情况</w:t>
            </w:r>
          </w:p>
        </w:tc>
      </w:tr>
      <w:tr w14:paraId="1D11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B4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76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西北综合服务片区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8A8">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4B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八中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F53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015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4.6028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D7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EA6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521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874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北部新城片区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BB3">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2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EB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丹凤街康养项目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264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10.2010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987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0C7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93EAA9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1E63661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城北商业片区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8D2">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51D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ED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EA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064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3.4162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114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51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F2E7DA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26BB7DB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522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5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7C6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34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9E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6.7172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48A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866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7E3BD88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40C1A26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5C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BBA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2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南赵庄世纪佳苑商住用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64C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204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1.0999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05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BD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41F11B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50F65BE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南城片区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5DC">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8EF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1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91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80A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3.2316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852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2D6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5C4F85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ACFA34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B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21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48E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3E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7F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C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033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40290">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CA7338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CF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36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A8E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FE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8BB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0.0882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F07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F15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4AEB46D">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4DF4F97">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353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0F6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D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新建路4</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10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138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1.1002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1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10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7A110C14">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E81A703">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4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5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6EE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56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58D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5.8323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43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B61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F7A1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4405BCB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EED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2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DF1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DD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4B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2.7651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F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EE6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62A700C">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F5D5C4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B1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45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B5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6C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C5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0.0568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2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67C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5CB91B1">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63C9A52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9D4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F7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23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公安局北边商住用地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E39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7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7.5630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32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1D2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2E2C751F">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4232ED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C7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39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6F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环卫一体化</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29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AF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2.4941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7B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CD7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A7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50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丹河东部片区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33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0B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E0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七中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B5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17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1.6223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A8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59A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26D773B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12BB1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高铁新区</w:t>
            </w:r>
            <w:r>
              <w:rPr>
                <w:rFonts w:hint="default" w:ascii="Times New Roman" w:hAnsi="Times New Roman" w:eastAsia="仿宋" w:cs="Times New Roman"/>
                <w:i w:val="0"/>
                <w:iCs w:val="0"/>
                <w:color w:val="auto"/>
                <w:sz w:val="21"/>
                <w:szCs w:val="21"/>
                <w:u w:val="none"/>
                <w:lang w:val="en-US" w:eastAsia="zh-CN"/>
              </w:rPr>
              <w:t>B</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AF9D">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2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F7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台湾产业园物流园地块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68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26A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1.5235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79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AD9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3BF9B16B">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A3BE51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5B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77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台湾产业园污水</w:t>
            </w:r>
            <w:r>
              <w:rPr>
                <w:rFonts w:hint="eastAsia" w:ascii="Times New Roman" w:hAnsi="Times New Roman" w:eastAsia="仿宋" w:cs="Times New Roman"/>
                <w:i w:val="0"/>
                <w:iCs w:val="0"/>
                <w:color w:val="auto"/>
                <w:sz w:val="21"/>
                <w:szCs w:val="21"/>
                <w:u w:val="none"/>
                <w:lang w:val="en-US" w:eastAsia="zh-CN"/>
              </w:rPr>
              <w:t>处理</w:t>
            </w:r>
            <w:r>
              <w:rPr>
                <w:rFonts w:hint="default" w:ascii="Times New Roman" w:hAnsi="Times New Roman" w:eastAsia="仿宋" w:cs="Times New Roman"/>
                <w:i w:val="0"/>
                <w:iCs w:val="0"/>
                <w:color w:val="auto"/>
                <w:sz w:val="21"/>
                <w:szCs w:val="21"/>
                <w:u w:val="none"/>
                <w:lang w:val="en-US" w:eastAsia="zh-CN"/>
              </w:rPr>
              <w:t>厂补征</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9A8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026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0.3063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C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AF3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3F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EA0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北诗片区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45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0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BD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北诗村供电所</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129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5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0.2290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3E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D8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CE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92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神农片区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79D6">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71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1F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阜外医院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465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BC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8.4240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A0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28D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0DF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3C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w:t>
            </w:r>
            <w:r>
              <w:rPr>
                <w:rFonts w:hint="default" w:ascii="Times New Roman" w:hAnsi="Times New Roman" w:eastAsia="仿宋" w:cs="Times New Roman"/>
                <w:i w:val="0"/>
                <w:iCs w:val="0"/>
                <w:color w:val="auto"/>
                <w:sz w:val="21"/>
                <w:szCs w:val="21"/>
                <w:u w:val="none"/>
                <w:lang w:val="en-US" w:eastAsia="zh-CN"/>
              </w:rPr>
              <w:t>A</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C34">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D13">
            <w:pPr>
              <w:jc w:val="center"/>
              <w:rPr>
                <w:rFonts w:hint="eastAsia"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FC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野川镇安置房</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14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w:t>
            </w:r>
            <w:r>
              <w:rPr>
                <w:rFonts w:hint="eastAsia" w:ascii="Times New Roman" w:hAnsi="Times New Roman" w:eastAsia="仿宋" w:cs="Times New Roman"/>
                <w:i w:val="0"/>
                <w:iCs w:val="0"/>
                <w:color w:val="auto"/>
                <w:sz w:val="21"/>
                <w:szCs w:val="21"/>
                <w:u w:val="none"/>
                <w:lang w:val="en-US" w:eastAsia="zh-CN"/>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09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0.4775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5C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E8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16B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A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体育馆片区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EB6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F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72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体育馆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07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852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3.8897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64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F17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AA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B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文化馆片区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244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D22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85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文化馆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A3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E9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4.0393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7D7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DD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17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3F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市三污片区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70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1C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D8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市第三污水处理厂</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964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27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1.1891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F1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CE1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343E94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756E92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C81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51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03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3D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22B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10.4616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FE5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ED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A2FB4F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467EA5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976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E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5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10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65A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5.0569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AD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D8D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245590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04A428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2BF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C4E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DC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10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AF0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3.9172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C0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C63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68AFA639">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74DEAE5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C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9A4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AD2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F37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6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1.9882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D15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A54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8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48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D1B">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A5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0EE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马村不锈钢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13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6D6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21.3088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B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D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7EC2E8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78ADF6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8E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9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88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二广物流园二期</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C9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730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8.0759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E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200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5ACA3A8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2D9154E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A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143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明园路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3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C6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1.5283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B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0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D4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863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8E7">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D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60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6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2E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0.0298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667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E1E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0F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D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B3</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5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1D3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CD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EB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10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0.0446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55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27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93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合计</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090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127.2707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FB0">
            <w:pPr>
              <w:jc w:val="center"/>
              <w:rPr>
                <w:rFonts w:hint="default" w:ascii="Times New Roman" w:hAnsi="Times New Roman" w:eastAsia="仿宋" w:cs="Times New Roman"/>
                <w:i w:val="0"/>
                <w:iCs w:val="0"/>
                <w:color w:val="auto"/>
                <w:sz w:val="21"/>
                <w:szCs w:val="21"/>
                <w:u w:val="none"/>
                <w:lang w:val="en-US" w:eastAsia="zh-CN"/>
              </w:rPr>
            </w:pPr>
          </w:p>
        </w:tc>
      </w:tr>
    </w:tbl>
    <w:p w14:paraId="7FB5CF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i w:val="0"/>
          <w:iCs w:val="0"/>
          <w:snapToGrid w:val="0"/>
          <w:color w:val="000000"/>
          <w:kern w:val="0"/>
          <w:sz w:val="24"/>
          <w:szCs w:val="24"/>
          <w:u w:val="none"/>
          <w:lang w:val="en-US" w:eastAsia="zh-CN"/>
        </w:rPr>
      </w:pPr>
    </w:p>
    <w:p w14:paraId="590DAC29">
      <w:pPr>
        <w:spacing w:line="240" w:lineRule="auto"/>
        <w:rPr>
          <w:rFonts w:hint="default"/>
          <w:sz w:val="21"/>
          <w:szCs w:val="21"/>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sz w:val="21"/>
          <w:szCs w:val="21"/>
        </w:rPr>
        <w:br w:type="page"/>
      </w:r>
    </w:p>
    <w:p w14:paraId="7EE0EDA4">
      <w:pPr>
        <w:pStyle w:val="2"/>
        <w:numPr>
          <w:ilvl w:val="0"/>
          <w:numId w:val="0"/>
        </w:numPr>
        <w:bidi w:val="0"/>
        <w:ind w:left="432" w:leftChars="0" w:hanging="432" w:firstLineChars="0"/>
        <w:jc w:val="both"/>
        <w:rPr>
          <w:rFonts w:hint="default"/>
          <w:sz w:val="40"/>
          <w:szCs w:val="40"/>
          <w:lang w:val="en-US" w:eastAsia="zh-CN"/>
        </w:rPr>
      </w:pPr>
      <w:bookmarkStart w:id="63" w:name="_Toc25169"/>
      <w:bookmarkStart w:id="64" w:name="_Toc31813"/>
      <w:r>
        <w:rPr>
          <w:rFonts w:hint="default" w:ascii="Times New Roman" w:hAnsi="Times New Roman" w:eastAsia="仿宋" w:cs="Times New Roman"/>
          <w:b/>
          <w:bCs/>
          <w:kern w:val="44"/>
          <w:sz w:val="40"/>
          <w:szCs w:val="40"/>
          <w:lang w:val="en-US" w:eastAsia="zh-CN"/>
        </w:rPr>
        <w:t>7.</w:t>
      </w:r>
      <w:r>
        <w:rPr>
          <w:rFonts w:hint="default"/>
          <w:sz w:val="40"/>
          <w:szCs w:val="40"/>
          <w:lang w:val="en-US" w:eastAsia="zh-CN"/>
        </w:rPr>
        <w:t>效益评估</w:t>
      </w:r>
      <w:bookmarkEnd w:id="61"/>
      <w:bookmarkEnd w:id="62"/>
      <w:bookmarkEnd w:id="63"/>
      <w:bookmarkEnd w:id="64"/>
    </w:p>
    <w:p w14:paraId="1367146A">
      <w:pPr>
        <w:pStyle w:val="3"/>
        <w:numPr>
          <w:ilvl w:val="1"/>
          <w:numId w:val="0"/>
        </w:numPr>
        <w:tabs>
          <w:tab w:val="clear" w:pos="420"/>
        </w:tabs>
        <w:bidi w:val="0"/>
        <w:ind w:left="575" w:leftChars="0" w:hanging="575" w:firstLineChars="0"/>
        <w:rPr>
          <w:rFonts w:hint="default"/>
          <w:sz w:val="32"/>
          <w:szCs w:val="32"/>
          <w:lang w:val="en-US" w:eastAsia="zh-CN"/>
        </w:rPr>
      </w:pPr>
      <w:bookmarkStart w:id="65" w:name="_Toc8621"/>
      <w:bookmarkStart w:id="66" w:name="_Toc19953"/>
      <w:bookmarkStart w:id="67" w:name="_Toc20711"/>
      <w:bookmarkStart w:id="68" w:name="_Toc4428"/>
      <w:bookmarkStart w:id="69" w:name="_Toc30018"/>
      <w:bookmarkStart w:id="70" w:name="_Toc9625"/>
      <w:bookmarkStart w:id="71" w:name="_Toc12252"/>
      <w:r>
        <w:rPr>
          <w:rFonts w:hint="eastAsia" w:ascii="Times New Roman" w:hAnsi="Times New Roman" w:eastAsia="仿宋" w:cs="Times New Roman"/>
          <w:b/>
          <w:bCs/>
          <w:kern w:val="2"/>
          <w:sz w:val="32"/>
          <w:szCs w:val="32"/>
          <w:lang w:val="en-US" w:eastAsia="zh-CN"/>
        </w:rPr>
        <w:t>7.1.</w:t>
      </w:r>
      <w:r>
        <w:rPr>
          <w:rFonts w:hint="default"/>
          <w:sz w:val="32"/>
          <w:szCs w:val="32"/>
          <w:lang w:val="en-US" w:eastAsia="zh-CN"/>
        </w:rPr>
        <w:t>土地利用效益</w:t>
      </w:r>
      <w:bookmarkEnd w:id="65"/>
      <w:bookmarkEnd w:id="66"/>
      <w:bookmarkEnd w:id="67"/>
      <w:bookmarkEnd w:id="68"/>
      <w:bookmarkEnd w:id="69"/>
    </w:p>
    <w:bookmarkEnd w:id="70"/>
    <w:bookmarkEnd w:id="71"/>
    <w:p w14:paraId="56512C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成片开发方案</w:t>
      </w:r>
      <w:r>
        <w:rPr>
          <w:rFonts w:hint="default" w:ascii="Times New Roman" w:hAnsi="Times New Roman" w:eastAsia="仿宋" w:cs="Times New Roman"/>
          <w:sz w:val="28"/>
          <w:szCs w:val="28"/>
        </w:rPr>
        <w:t>有利于优化片区内新增建设用地空间布局，满足</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现代产业及宜居城市建设发展需求，实现土地集约节约利用；同时可加强存量建设用地效能提升，为缓解</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建成区用地供需矛盾提供有效抓手，提高建设用地集约利用水平，推动</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土地利用向集约型高质量发展转变。方案的编制实施可从土地资源供给侧促进战略性新兴产业发展与城市功能完善，避免以往大量单一功能土地征收造成的城市功能缺位问题。</w:t>
      </w:r>
    </w:p>
    <w:p w14:paraId="15B8203E">
      <w:pPr>
        <w:pStyle w:val="3"/>
        <w:numPr>
          <w:ilvl w:val="1"/>
          <w:numId w:val="0"/>
        </w:numPr>
        <w:tabs>
          <w:tab w:val="clear" w:pos="420"/>
        </w:tabs>
        <w:bidi w:val="0"/>
        <w:ind w:left="575" w:leftChars="0" w:hanging="575" w:firstLineChars="0"/>
        <w:rPr>
          <w:rFonts w:hint="default"/>
          <w:sz w:val="32"/>
          <w:szCs w:val="32"/>
          <w:lang w:val="en-US" w:eastAsia="zh-CN"/>
        </w:rPr>
      </w:pPr>
      <w:bookmarkStart w:id="72" w:name="_Toc29741"/>
      <w:bookmarkStart w:id="73" w:name="_Toc16720"/>
      <w:bookmarkStart w:id="74" w:name="_Toc18860"/>
      <w:bookmarkStart w:id="75" w:name="_Toc27490"/>
      <w:r>
        <w:rPr>
          <w:rFonts w:hint="eastAsia" w:ascii="Times New Roman" w:hAnsi="Times New Roman" w:eastAsia="仿宋" w:cs="Times New Roman"/>
          <w:b/>
          <w:bCs/>
          <w:kern w:val="2"/>
          <w:sz w:val="32"/>
          <w:szCs w:val="32"/>
          <w:lang w:val="en-US" w:eastAsia="zh-CN"/>
        </w:rPr>
        <w:t>7.2.</w:t>
      </w:r>
      <w:r>
        <w:rPr>
          <w:rFonts w:hint="default"/>
          <w:sz w:val="32"/>
          <w:szCs w:val="32"/>
          <w:lang w:val="en-US" w:eastAsia="zh-CN"/>
        </w:rPr>
        <w:t>经济效益</w:t>
      </w:r>
      <w:bookmarkEnd w:id="72"/>
    </w:p>
    <w:p w14:paraId="080E5F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次成片开发的实施，将提升高平市产业的战略定位和功能定位，突出产业主导和特色，规划引进新的发展产业，成片开发项目的建设将推动和聚集符合当地资源特点的产业，优化资源配置，提高资源的利用率，降低能耗，提高土地的综合利用率。</w:t>
      </w:r>
    </w:p>
    <w:p w14:paraId="19A2DB8F">
      <w:pPr>
        <w:spacing w:line="240" w:lineRule="auto"/>
        <w:ind w:firstLine="64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本方案将进一步优化布局米山、三甲工业产业集聚区发展，加速补齐市域经济发展短板，</w:t>
      </w:r>
      <w:r>
        <w:rPr>
          <w:rFonts w:hint="eastAsia" w:ascii="Times New Roman" w:hAnsi="Times New Roman" w:eastAsia="仿宋" w:cs="Times New Roman"/>
          <w:sz w:val="28"/>
          <w:szCs w:val="28"/>
          <w:lang w:val="en-US" w:eastAsia="zh-CN"/>
        </w:rPr>
        <w:t>推动高铁新城建设，以高铁片区为载体带动产业升级，</w:t>
      </w:r>
      <w:r>
        <w:rPr>
          <w:rFonts w:hint="default" w:ascii="Times New Roman" w:hAnsi="Times New Roman" w:eastAsia="仿宋" w:cs="Times New Roman"/>
          <w:sz w:val="28"/>
          <w:szCs w:val="28"/>
          <w:lang w:val="en-US" w:eastAsia="zh-CN"/>
        </w:rPr>
        <w:t>增加市级财政收入</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将</w:t>
      </w:r>
      <w:r>
        <w:rPr>
          <w:rFonts w:hint="eastAsia" w:ascii="Times New Roman" w:hAnsi="Times New Roman" w:eastAsia="仿宋" w:cs="Times New Roman"/>
          <w:sz w:val="28"/>
          <w:szCs w:val="28"/>
          <w:lang w:val="en-US" w:eastAsia="zh-CN"/>
        </w:rPr>
        <w:t>喜镇苏庄</w:t>
      </w:r>
      <w:r>
        <w:rPr>
          <w:rFonts w:hint="default" w:ascii="Times New Roman" w:hAnsi="Times New Roman" w:eastAsia="仿宋" w:cs="Times New Roman"/>
          <w:sz w:val="28"/>
          <w:szCs w:val="28"/>
          <w:lang w:val="en-US" w:eastAsia="zh-CN"/>
        </w:rPr>
        <w:t>打造为高平市重要旅游吸引</w:t>
      </w:r>
      <w:r>
        <w:rPr>
          <w:rFonts w:hint="eastAsia" w:ascii="Times New Roman" w:hAnsi="Times New Roman" w:eastAsia="仿宋" w:cs="Times New Roman"/>
          <w:sz w:val="28"/>
          <w:szCs w:val="28"/>
          <w:lang w:val="en-US" w:eastAsia="zh-CN"/>
        </w:rPr>
        <w:t>点</w:t>
      </w:r>
      <w:r>
        <w:rPr>
          <w:rFonts w:hint="default" w:ascii="Times New Roman" w:hAnsi="Times New Roman" w:eastAsia="仿宋" w:cs="Times New Roman"/>
          <w:sz w:val="28"/>
          <w:szCs w:val="28"/>
          <w:lang w:val="en-US" w:eastAsia="zh-CN"/>
        </w:rPr>
        <w:t>，提升规划区招商引资能力，再通</w:t>
      </w:r>
      <w:r>
        <w:rPr>
          <w:rFonts w:hint="eastAsia" w:ascii="Times New Roman" w:hAnsi="Times New Roman" w:eastAsia="仿宋" w:cs="Times New Roman"/>
          <w:sz w:val="28"/>
          <w:szCs w:val="28"/>
          <w:lang w:val="en-US" w:eastAsia="zh-CN"/>
        </w:rPr>
        <w:t>新能源等相关</w:t>
      </w:r>
      <w:r>
        <w:rPr>
          <w:rFonts w:hint="default" w:ascii="Times New Roman" w:hAnsi="Times New Roman" w:eastAsia="仿宋" w:cs="Times New Roman"/>
          <w:sz w:val="28"/>
          <w:szCs w:val="28"/>
          <w:lang w:val="en-US" w:eastAsia="zh-CN"/>
        </w:rPr>
        <w:t>产业</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lang w:val="en-US" w:eastAsia="zh-CN"/>
        </w:rPr>
        <w:t>发展，构建全域相互支撑的产品体系，实现旅游人数的快速增长，可强有力地推动高平市和晋城市的经济发展。</w:t>
      </w:r>
    </w:p>
    <w:p w14:paraId="2CB44A6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通过本《方案》的实施，项目建设可带动多个行业和相关产业的发展，有利于拉动国民经济增长和财政增收，有利于促进</w:t>
      </w:r>
      <w:r>
        <w:rPr>
          <w:rFonts w:hint="eastAsia" w:ascii="Times New Roman" w:hAnsi="Times New Roman" w:eastAsia="仿宋" w:cs="Times New Roman"/>
          <w:sz w:val="28"/>
          <w:szCs w:val="28"/>
          <w:lang w:val="en-US" w:eastAsia="zh-CN"/>
        </w:rPr>
        <w:t>旅游业</w:t>
      </w:r>
      <w:r>
        <w:rPr>
          <w:rFonts w:hint="default" w:ascii="Times New Roman" w:hAnsi="Times New Roman" w:eastAsia="仿宋" w:cs="Times New Roman"/>
          <w:sz w:val="28"/>
          <w:szCs w:val="28"/>
          <w:lang w:val="en-US" w:eastAsia="zh-CN"/>
        </w:rPr>
        <w:t>的发展与物流产业的发展，有利于提高第三产业比重，促进国民经济协调发展，有利于改善投资环境。项目建设完成后，综合收益稳定，并能够为基础设施配套和公益项目建设提供更多的资金保障。</w:t>
      </w:r>
    </w:p>
    <w:p w14:paraId="5D85BA16">
      <w:pPr>
        <w:pStyle w:val="3"/>
        <w:numPr>
          <w:ilvl w:val="1"/>
          <w:numId w:val="0"/>
        </w:numPr>
        <w:tabs>
          <w:tab w:val="clear" w:pos="420"/>
        </w:tabs>
        <w:bidi w:val="0"/>
        <w:ind w:left="575" w:leftChars="0" w:hanging="575" w:firstLineChars="0"/>
        <w:rPr>
          <w:rFonts w:hint="default"/>
          <w:sz w:val="32"/>
          <w:szCs w:val="32"/>
          <w:lang w:val="en-US" w:eastAsia="zh-CN"/>
        </w:rPr>
      </w:pPr>
      <w:bookmarkStart w:id="76" w:name="_Toc11527"/>
      <w:r>
        <w:rPr>
          <w:rFonts w:hint="eastAsia" w:ascii="Times New Roman" w:hAnsi="Times New Roman" w:eastAsia="仿宋" w:cs="Times New Roman"/>
          <w:b/>
          <w:bCs/>
          <w:kern w:val="2"/>
          <w:sz w:val="32"/>
          <w:szCs w:val="32"/>
          <w:lang w:val="en-US" w:eastAsia="zh-CN"/>
        </w:rPr>
        <w:t>7.3.</w:t>
      </w:r>
      <w:r>
        <w:rPr>
          <w:rFonts w:hint="default"/>
          <w:sz w:val="32"/>
          <w:szCs w:val="32"/>
          <w:lang w:val="en-US" w:eastAsia="zh-CN"/>
        </w:rPr>
        <w:t>社会效益</w:t>
      </w:r>
      <w:bookmarkEnd w:id="73"/>
      <w:bookmarkEnd w:id="74"/>
      <w:bookmarkEnd w:id="75"/>
      <w:bookmarkEnd w:id="76"/>
    </w:p>
    <w:p w14:paraId="13E0BF1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经本次土地征收成片开发，能够促进产业转型升级、完善区域各项设施配套、提升城镇服务综合能力，提高当地居民收入水平。本次成片开发方案通过提升区内城镇服务综合能力，优化产业结构和产业空间布局，吸引企业入驻发展，带动地方人才市场，产生更多的就业机会，缓解本地居民就业压力。</w:t>
      </w:r>
    </w:p>
    <w:p w14:paraId="62613D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米山北工业园片区将充分发挥产业集聚区的政策优势和聚集辐射效应，带动相关行业的发展，完善本区域的基础设施，提高招商引资的能力，带动市及周边的一体化发展。项目建成后，不仅可以提供大量的普通就业岗位，进一步增加当地居民收入，还需要大量的高级技术人才、管理人才，有助于解决劳动就业问题，吸引优秀人才扎根高平。</w:t>
      </w:r>
    </w:p>
    <w:p w14:paraId="73AD9C3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lang w:val="en-US" w:eastAsia="zh-CN"/>
        </w:rPr>
        <w:t>高铁、苏庄商业片区的建设利于满足居民日益增长的消费需求，完善该中心城区的城镇生活居住、商业和服务业等功能，有助于优化城市空间布局，提升城市的整体形象和品质；商场的建设和发展也能够带动周</w:t>
      </w:r>
      <w:r>
        <w:rPr>
          <w:rFonts w:hint="eastAsia" w:ascii="Times New Roman" w:hAnsi="Times New Roman" w:eastAsia="仿宋" w:cs="Times New Roman"/>
          <w:sz w:val="28"/>
          <w:szCs w:val="28"/>
          <w:highlight w:val="none"/>
          <w:lang w:val="en-US" w:eastAsia="zh-CN"/>
        </w:rPr>
        <w:t>边区域的更新和改造，提升城市的宜居性和可持续性。</w:t>
      </w:r>
    </w:p>
    <w:p w14:paraId="66BC699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i w:val="0"/>
          <w:iCs w:val="0"/>
          <w:color w:val="000000"/>
          <w:kern w:val="0"/>
          <w:sz w:val="24"/>
          <w:szCs w:val="24"/>
          <w:highlight w:val="yellow"/>
          <w:u w:val="none"/>
          <w:lang w:val="en-US" w:eastAsia="zh-CN" w:bidi="ar"/>
        </w:rPr>
      </w:pPr>
      <w:r>
        <w:rPr>
          <w:rFonts w:hint="eastAsia" w:ascii="Times New Roman" w:hAnsi="Times New Roman" w:eastAsia="仿宋" w:cs="Times New Roman"/>
          <w:sz w:val="28"/>
          <w:szCs w:val="28"/>
          <w:highlight w:val="none"/>
          <w:lang w:val="en-US" w:eastAsia="zh-CN"/>
        </w:rPr>
        <w:t>成片开发方案划定后，开发区内成片开发区域的公益性用地占比增加到29.13%</w:t>
      </w:r>
      <w:r>
        <w:rPr>
          <w:rFonts w:hint="eastAsia"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sz w:val="28"/>
          <w:szCs w:val="28"/>
          <w:highlight w:val="none"/>
          <w:lang w:val="en-US" w:eastAsia="zh-CN"/>
        </w:rPr>
        <w:t>开发区外其他成片开发区域的公益性用地占比增加到48.16%。城市</w:t>
      </w:r>
      <w:r>
        <w:rPr>
          <w:rFonts w:hint="eastAsia" w:ascii="Times New Roman" w:hAnsi="Times New Roman" w:eastAsia="仿宋" w:cs="Times New Roman"/>
          <w:sz w:val="28"/>
          <w:szCs w:val="28"/>
          <w:lang w:val="en-US" w:eastAsia="zh-CN"/>
        </w:rPr>
        <w:t>绿地的建设满足了人居生活环境品质的提升；市政道路的配套完善，完善了高平市的交通网络，提升生活便利度与满意度；基础设施的建设，进一步满足生产、生活的基础需求。</w:t>
      </w:r>
    </w:p>
    <w:p w14:paraId="6A7283C8">
      <w:pPr>
        <w:pStyle w:val="3"/>
        <w:numPr>
          <w:ilvl w:val="1"/>
          <w:numId w:val="0"/>
        </w:numPr>
        <w:tabs>
          <w:tab w:val="clear" w:pos="420"/>
        </w:tabs>
        <w:bidi w:val="0"/>
        <w:ind w:left="575" w:leftChars="0" w:hanging="575" w:firstLineChars="0"/>
        <w:rPr>
          <w:rFonts w:hint="default"/>
          <w:sz w:val="32"/>
          <w:szCs w:val="32"/>
          <w:lang w:val="en-US" w:eastAsia="zh-CN"/>
        </w:rPr>
      </w:pPr>
      <w:bookmarkStart w:id="77" w:name="_Toc20222"/>
      <w:bookmarkStart w:id="78" w:name="_Toc6949"/>
      <w:bookmarkStart w:id="79" w:name="_Toc7623"/>
      <w:bookmarkStart w:id="80" w:name="_Toc18403"/>
      <w:r>
        <w:rPr>
          <w:rFonts w:hint="eastAsia" w:ascii="Times New Roman" w:hAnsi="Times New Roman" w:eastAsia="仿宋" w:cs="Times New Roman"/>
          <w:b/>
          <w:bCs/>
          <w:kern w:val="2"/>
          <w:sz w:val="32"/>
          <w:szCs w:val="32"/>
          <w:lang w:val="en-US" w:eastAsia="zh-CN"/>
        </w:rPr>
        <w:t>7.4.</w:t>
      </w:r>
      <w:r>
        <w:rPr>
          <w:rFonts w:hint="default"/>
          <w:sz w:val="32"/>
          <w:szCs w:val="32"/>
          <w:lang w:val="en-US" w:eastAsia="zh-CN"/>
        </w:rPr>
        <w:t>生态效益</w:t>
      </w:r>
      <w:bookmarkEnd w:id="77"/>
      <w:bookmarkEnd w:id="78"/>
      <w:bookmarkEnd w:id="79"/>
      <w:bookmarkEnd w:id="80"/>
    </w:p>
    <w:p w14:paraId="72BC46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成片开发片区范围内不涉及占用永久基本农田、生态保护红线和自然保护地，符合生态环境保护要求。对于涉及生态控制线、绿线、蓝线等生态底线管控要素的，做好衔接工作，不</w:t>
      </w:r>
      <w:r>
        <w:rPr>
          <w:rFonts w:hint="eastAsia" w:ascii="Times New Roman" w:hAnsi="Times New Roman" w:eastAsia="仿宋" w:cs="Times New Roman"/>
          <w:sz w:val="28"/>
          <w:szCs w:val="28"/>
          <w:lang w:eastAsia="zh-CN"/>
        </w:rPr>
        <w:t>破坏</w:t>
      </w:r>
      <w:r>
        <w:rPr>
          <w:rFonts w:hint="default" w:ascii="Times New Roman" w:hAnsi="Times New Roman" w:eastAsia="仿宋" w:cs="Times New Roman"/>
          <w:sz w:val="28"/>
          <w:szCs w:val="28"/>
        </w:rPr>
        <w:t>不污染生态环境，同时加强生态环境建设，促进区域经济可持续发展，有利于营造良好的片区空间环境，提升生态环境质量。</w:t>
      </w:r>
    </w:p>
    <w:p w14:paraId="66DE4723">
      <w:pPr>
        <w:rPr>
          <w:rFonts w:hint="default" w:ascii="Times New Roman" w:hAnsi="Times New Roman" w:eastAsia="仿宋" w:cs="Times New Roman"/>
          <w:b/>
          <w:bCs/>
          <w:kern w:val="44"/>
          <w:sz w:val="40"/>
          <w:szCs w:val="40"/>
          <w:lang w:val="en-US" w:eastAsia="zh-CN"/>
        </w:rPr>
      </w:pPr>
      <w:r>
        <w:rPr>
          <w:rFonts w:hint="default" w:ascii="Times New Roman" w:hAnsi="Times New Roman" w:eastAsia="仿宋" w:cs="Times New Roman"/>
          <w:b/>
          <w:bCs/>
          <w:kern w:val="44"/>
          <w:sz w:val="40"/>
          <w:szCs w:val="40"/>
          <w:lang w:val="en-US" w:eastAsia="zh-CN"/>
        </w:rPr>
        <w:br w:type="page"/>
      </w:r>
    </w:p>
    <w:p w14:paraId="4F060B79">
      <w:pPr>
        <w:pStyle w:val="2"/>
        <w:numPr>
          <w:ilvl w:val="0"/>
          <w:numId w:val="0"/>
        </w:numPr>
        <w:bidi w:val="0"/>
        <w:ind w:left="432" w:leftChars="0" w:hanging="432" w:firstLineChars="0"/>
        <w:jc w:val="both"/>
        <w:rPr>
          <w:rFonts w:hint="default"/>
          <w:sz w:val="40"/>
          <w:szCs w:val="40"/>
        </w:rPr>
      </w:pPr>
      <w:bookmarkStart w:id="81" w:name="_Toc24257"/>
      <w:r>
        <w:rPr>
          <w:rFonts w:hint="eastAsia" w:cs="Times New Roman"/>
          <w:b/>
          <w:bCs/>
          <w:kern w:val="44"/>
          <w:sz w:val="40"/>
          <w:szCs w:val="40"/>
          <w:lang w:val="en-US" w:eastAsia="zh-CN"/>
        </w:rPr>
        <w:t>8</w:t>
      </w:r>
      <w:r>
        <w:rPr>
          <w:rFonts w:hint="default" w:ascii="Times New Roman" w:hAnsi="Times New Roman" w:eastAsia="仿宋" w:cs="Times New Roman"/>
          <w:b/>
          <w:bCs/>
          <w:kern w:val="44"/>
          <w:sz w:val="40"/>
          <w:szCs w:val="40"/>
          <w:lang w:val="en-US" w:eastAsia="zh-CN"/>
        </w:rPr>
        <w:t>.</w:t>
      </w:r>
      <w:r>
        <w:rPr>
          <w:rFonts w:hint="eastAsia"/>
          <w:sz w:val="40"/>
          <w:szCs w:val="40"/>
          <w:lang w:val="en-US" w:eastAsia="zh-CN"/>
        </w:rPr>
        <w:t>保障措施</w:t>
      </w:r>
      <w:bookmarkEnd w:id="81"/>
    </w:p>
    <w:p w14:paraId="4D9A9794">
      <w:pPr>
        <w:pStyle w:val="3"/>
        <w:numPr>
          <w:ilvl w:val="1"/>
          <w:numId w:val="0"/>
        </w:numPr>
        <w:tabs>
          <w:tab w:val="clear" w:pos="420"/>
        </w:tabs>
        <w:bidi w:val="0"/>
        <w:ind w:left="575" w:leftChars="0" w:hanging="575" w:firstLineChars="0"/>
        <w:rPr>
          <w:rFonts w:hint="default"/>
          <w:sz w:val="32"/>
          <w:szCs w:val="32"/>
          <w:lang w:val="en-US" w:eastAsia="zh-CN"/>
        </w:rPr>
      </w:pPr>
      <w:bookmarkStart w:id="82" w:name="_Toc26628"/>
      <w:bookmarkStart w:id="83" w:name="_Toc1107"/>
      <w:bookmarkStart w:id="84" w:name="_Toc31939"/>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.1.</w:t>
      </w:r>
      <w:r>
        <w:rPr>
          <w:rFonts w:hint="default"/>
          <w:sz w:val="32"/>
          <w:szCs w:val="32"/>
          <w:lang w:val="en-US" w:eastAsia="zh-CN"/>
        </w:rPr>
        <w:t>加强政策宣传，营造良好社会舆论氛围</w:t>
      </w:r>
      <w:bookmarkEnd w:id="82"/>
      <w:bookmarkEnd w:id="83"/>
      <w:bookmarkEnd w:id="84"/>
    </w:p>
    <w:p w14:paraId="572A18F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土地征收前应加强农村征地相关法律法规知识和政策的宣传与普及，相关部门可采取丰富多样的形式深入宣传普及《中华人民共和国土地管理法》等，通过全方位、立体化、高密度的宣传，使广大被征地农户能够了解相关法律政策，赢得群众的理解、支持、参与，引导农户在依法维护自身合法权益的同时，能够积极配合征地工作顺利开展，为征地拆迁工作顺利进行营造良好的社会环境和舆论氛围。</w:t>
      </w:r>
    </w:p>
    <w:p w14:paraId="66FBCCC7">
      <w:pPr>
        <w:pStyle w:val="3"/>
        <w:numPr>
          <w:ilvl w:val="1"/>
          <w:numId w:val="0"/>
        </w:numPr>
        <w:tabs>
          <w:tab w:val="clear" w:pos="420"/>
        </w:tabs>
        <w:bidi w:val="0"/>
        <w:ind w:left="575" w:leftChars="0" w:hanging="575" w:firstLineChars="0"/>
        <w:rPr>
          <w:rFonts w:hint="default"/>
          <w:sz w:val="32"/>
          <w:szCs w:val="32"/>
          <w:lang w:val="en-US" w:eastAsia="zh-CN"/>
        </w:rPr>
      </w:pPr>
      <w:bookmarkStart w:id="85" w:name="_Toc28896"/>
      <w:bookmarkStart w:id="86" w:name="_Toc28699"/>
      <w:bookmarkStart w:id="87" w:name="_Toc1306"/>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.2.</w:t>
      </w:r>
      <w:r>
        <w:rPr>
          <w:rFonts w:hint="default"/>
          <w:sz w:val="32"/>
          <w:szCs w:val="32"/>
          <w:lang w:val="en-US" w:eastAsia="zh-CN"/>
        </w:rPr>
        <w:t>严格履行程序，确保征收程序依法合规</w:t>
      </w:r>
      <w:bookmarkEnd w:id="85"/>
      <w:bookmarkEnd w:id="86"/>
      <w:bookmarkEnd w:id="87"/>
    </w:p>
    <w:p w14:paraId="5C3FBC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实施土地征收工作过程中，应严格落实《中华人民共和国土地管理法》的相关规定，保证土地征收程序依法合规。保障被征收土地农民的知情权、参与权、监督权，切实保护失地农民利益。</w:t>
      </w:r>
    </w:p>
    <w:p w14:paraId="7C042B0E">
      <w:pPr>
        <w:pStyle w:val="3"/>
        <w:numPr>
          <w:ilvl w:val="1"/>
          <w:numId w:val="0"/>
        </w:numPr>
        <w:tabs>
          <w:tab w:val="clear" w:pos="420"/>
        </w:tabs>
        <w:bidi w:val="0"/>
        <w:ind w:left="575" w:leftChars="0" w:hanging="575" w:firstLineChars="0"/>
        <w:rPr>
          <w:rFonts w:hint="default"/>
          <w:sz w:val="32"/>
          <w:szCs w:val="32"/>
          <w:lang w:val="en-US" w:eastAsia="zh-CN"/>
        </w:rPr>
      </w:pPr>
      <w:bookmarkStart w:id="88" w:name="_Toc3690"/>
      <w:bookmarkStart w:id="89" w:name="_Toc1822"/>
      <w:bookmarkStart w:id="90" w:name="_Toc1654"/>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.3.</w:t>
      </w:r>
      <w:r>
        <w:rPr>
          <w:rFonts w:hint="default"/>
          <w:sz w:val="32"/>
          <w:szCs w:val="32"/>
          <w:lang w:val="en-US" w:eastAsia="zh-CN"/>
        </w:rPr>
        <w:t>落实土地补偿方案，切实维护失地农民权益</w:t>
      </w:r>
      <w:bookmarkEnd w:id="88"/>
      <w:bookmarkEnd w:id="89"/>
      <w:bookmarkEnd w:id="90"/>
    </w:p>
    <w:p w14:paraId="654BDDD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安置补偿是土地征收的关键，是农民关注的焦点，也是大多数不稳定事件的诱因，为避免矛盾的发生，相关部门应严格按照安置补偿方案实行，尤其是做好公开、公示工作，保证补偿金及时、足额发放，同时补偿金的发放也要考虑历史及毗连地区的征地补偿方案和补偿标准，安置补偿政策要具备一致性和连续性。如果补偿方案与历史补偿方案存在差异，应做好沟通工作，安置补偿方案应获得大多数村民的支持。</w:t>
      </w:r>
    </w:p>
    <w:p w14:paraId="4F03B2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应严格按照《山西省人民政府关于公布全省征地区片综合地价的通知》（晋政发〔2020〕16号）、《关于对被征地农民实行基本养老保险补贴的意见》（晋政办发〔2019〕10号）以及晋城市、</w:t>
      </w:r>
      <w:r>
        <w:rPr>
          <w:rFonts w:hint="eastAsia" w:ascii="Times New Roman" w:hAnsi="Times New Roman" w:eastAsia="仿宋" w:cs="Times New Roman"/>
          <w:sz w:val="28"/>
          <w:szCs w:val="28"/>
          <w:highlight w:val="none"/>
          <w:lang w:val="en-US" w:eastAsia="zh-CN"/>
        </w:rPr>
        <w:t>高平市</w:t>
      </w:r>
      <w:r>
        <w:rPr>
          <w:rFonts w:hint="default" w:ascii="Times New Roman" w:hAnsi="Times New Roman" w:eastAsia="仿宋" w:cs="Times New Roman"/>
          <w:sz w:val="28"/>
          <w:szCs w:val="28"/>
          <w:highlight w:val="none"/>
          <w:lang w:val="en-US" w:eastAsia="zh-CN"/>
        </w:rPr>
        <w:t>政府规定的征迁补偿标准等政策文件规定，综合考虑被征地的所有权人或使用人支付的各种补偿金，包括房屋拆迁补偿费、土地补偿费、安置补助费以及被征收土地青苗及地上附着物补偿费，征收建设用地、未利用地的土地补偿，按照项目所在区域公布的统一年产值标准和《山西省实施〈中华人民共和国土地管理法〉办法》规定的补偿倍数的上限支付土地补偿费。耕地开垦费、被征地农民的社会保障费按照调整后的征地统一年产值标准和我省已规定的倍数测算。</w:t>
      </w:r>
    </w:p>
    <w:p w14:paraId="2268E0F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根据国家征地相关立法精神，征收农民土地补偿，以被征地农民生活水平不降低为宜，其次，因对土地利用较好，而使土地年产值远高于区委平均产值的，如在土地上种植经济作物，利用农用地开展特殊种植、养殖业，应当根据实际情况获得更高补偿。为确保被征地农民生活水平有提高，长远生计有保障，需与村民达成一致意见，签订正式协议，并按时足额支付补偿款确保征迁工作的顺利进行。</w:t>
      </w:r>
    </w:p>
    <w:p w14:paraId="378B5C9E">
      <w:pPr>
        <w:pStyle w:val="3"/>
        <w:numPr>
          <w:ilvl w:val="1"/>
          <w:numId w:val="0"/>
        </w:numPr>
        <w:tabs>
          <w:tab w:val="clear" w:pos="420"/>
        </w:tabs>
        <w:bidi w:val="0"/>
        <w:ind w:left="575" w:leftChars="0" w:hanging="575" w:firstLineChars="0"/>
        <w:rPr>
          <w:rFonts w:hint="default"/>
          <w:sz w:val="32"/>
          <w:szCs w:val="32"/>
          <w:lang w:val="en-US" w:eastAsia="zh-CN"/>
        </w:rPr>
      </w:pPr>
      <w:bookmarkStart w:id="91" w:name="_Toc10167"/>
      <w:bookmarkStart w:id="92" w:name="_Toc3112"/>
      <w:bookmarkStart w:id="93" w:name="_Toc26919"/>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.4.</w:t>
      </w:r>
      <w:r>
        <w:rPr>
          <w:rFonts w:hint="default"/>
          <w:sz w:val="32"/>
          <w:szCs w:val="32"/>
          <w:lang w:val="en-US" w:eastAsia="zh-CN"/>
        </w:rPr>
        <w:t>加强风险预警，做好土地征收维稳工作</w:t>
      </w:r>
      <w:bookmarkEnd w:id="91"/>
      <w:bookmarkEnd w:id="92"/>
      <w:bookmarkEnd w:id="93"/>
    </w:p>
    <w:p w14:paraId="1920BFC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落实征地社会稳定风险评估制度，在充分听取意见和全面分析论证的基础上，科学确定风险等级，制定风险防控措施。建立风险预警制度，对土地征收过程中发证的不稳定因素进行每日排查，加强土地征收现场的治安保障，保持征收涉及区域日常治安环境的良好。密切关注极少数人可能因对补偿不满意引发的上访、闹访、煽动群众、示威等动向，第一时间采取教育、说服、化解等措施，将问题消除在萌芽状态。突发</w:t>
      </w:r>
      <w:r>
        <w:rPr>
          <w:rFonts w:hint="eastAsia" w:ascii="Times New Roman" w:hAnsi="Times New Roman" w:eastAsia="仿宋" w:cs="Times New Roman"/>
          <w:sz w:val="28"/>
          <w:szCs w:val="28"/>
          <w:highlight w:val="none"/>
          <w:lang w:val="en-US" w:eastAsia="zh-CN"/>
        </w:rPr>
        <w:t>事件</w:t>
      </w:r>
      <w:r>
        <w:rPr>
          <w:rFonts w:hint="default" w:ascii="Times New Roman" w:hAnsi="Times New Roman" w:eastAsia="仿宋" w:cs="Times New Roman"/>
          <w:sz w:val="28"/>
          <w:szCs w:val="28"/>
          <w:highlight w:val="none"/>
          <w:lang w:val="en-US" w:eastAsia="zh-CN"/>
        </w:rPr>
        <w:t>一旦发生或是出现发生的苗头后，各方力量和人员都能立即投入到位，各司其职，有条不紊开展工作。</w:t>
      </w:r>
    </w:p>
    <w:p w14:paraId="4994B59D">
      <w:pPr>
        <w:pStyle w:val="3"/>
        <w:numPr>
          <w:ilvl w:val="1"/>
          <w:numId w:val="0"/>
        </w:numPr>
        <w:tabs>
          <w:tab w:val="clear" w:pos="420"/>
        </w:tabs>
        <w:bidi w:val="0"/>
        <w:ind w:left="575" w:leftChars="0" w:hanging="575" w:firstLineChars="0"/>
        <w:rPr>
          <w:rFonts w:hint="default"/>
          <w:sz w:val="32"/>
          <w:szCs w:val="32"/>
          <w:lang w:val="en-US" w:eastAsia="zh-CN"/>
        </w:rPr>
      </w:pPr>
      <w:bookmarkStart w:id="94" w:name="_Toc30448"/>
      <w:bookmarkStart w:id="95" w:name="_Toc25313"/>
      <w:bookmarkStart w:id="96" w:name="_Toc7143"/>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.5.</w:t>
      </w:r>
      <w:r>
        <w:rPr>
          <w:rFonts w:hint="default"/>
          <w:sz w:val="32"/>
          <w:szCs w:val="32"/>
          <w:lang w:val="en-US" w:eastAsia="zh-CN"/>
        </w:rPr>
        <w:t>严格保护耕地，落实耕地占补平衡责任</w:t>
      </w:r>
      <w:bookmarkEnd w:id="94"/>
      <w:bookmarkEnd w:id="95"/>
      <w:bookmarkEnd w:id="96"/>
    </w:p>
    <w:p w14:paraId="542F73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强化空间规划管控和用途管制，引导建设项目按照空间规划用途和土地利用计划使用土地。严格新增建设用地项目审批，从严审查建设用地位置、规模，对用地规模合理性、占用耕地必要性进行充分论证。非农建设占用耕地的，建设单位必须依法履行补充耕地义务，无法自行补充同等同级耕地的，应当按规定缴纳耕地开垦费，通过异地整治或购买补充耕地指标实现占补平衡。大力推进土地综合整治，落实耕地“占优补优”的占补平衡政策。整合相关部门涉农资金，鼓励社会资本、农民集体参与增减挂钩、土地复垦，全面拓宽土地整治资金渠道。补充耕地项目竣工验收后，项目所在地区、镇政府要及时组织群众进行耕种，落实长效保护机制，明确管护主体和责任。全面推进耕作层剥离再利用工作，落实耕作层剥离主体责任，剥离出的耕作层优先用于新增耕地、提质改造、劣质地或永久基本农田及整备区的耕地质量建设，落实耕地数量、质量、生态“三位一体”保护要求。</w:t>
      </w:r>
    </w:p>
    <w:p w14:paraId="149E3EF4">
      <w:pPr>
        <w:pStyle w:val="3"/>
        <w:numPr>
          <w:ilvl w:val="1"/>
          <w:numId w:val="0"/>
        </w:numPr>
        <w:tabs>
          <w:tab w:val="clear" w:pos="420"/>
        </w:tabs>
        <w:bidi w:val="0"/>
        <w:ind w:left="575" w:leftChars="0" w:hanging="575" w:firstLineChars="0"/>
        <w:rPr>
          <w:rFonts w:hint="default"/>
          <w:sz w:val="32"/>
          <w:szCs w:val="32"/>
          <w:lang w:val="en-US" w:eastAsia="zh-CN"/>
        </w:rPr>
      </w:pPr>
      <w:bookmarkStart w:id="97" w:name="_Toc20207"/>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.6.</w:t>
      </w:r>
      <w:r>
        <w:rPr>
          <w:rFonts w:hint="default"/>
          <w:sz w:val="32"/>
          <w:szCs w:val="32"/>
          <w:lang w:val="en-US" w:eastAsia="zh-CN"/>
        </w:rPr>
        <w:t>严格保护和合理利用林地</w:t>
      </w:r>
      <w:r>
        <w:rPr>
          <w:rFonts w:hint="eastAsia"/>
          <w:sz w:val="32"/>
          <w:szCs w:val="32"/>
          <w:lang w:val="en-US" w:eastAsia="zh-CN"/>
        </w:rPr>
        <w:t>，促进林业发展</w:t>
      </w:r>
      <w:bookmarkEnd w:id="97"/>
    </w:p>
    <w:p w14:paraId="3C1215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建设项目应当不占或者少占林地，必须使用林地的，应当符合林地保护利用规划，合理和节约集约利用林地。建设项目使用林地实行总量控制和定额管理。建设项目限制使用生态区位重要和生态脆弱地区的林地，限制使用天然林和单位面积蓄积量高的林地，限制经营性建设项目使用林地。建设项目占用林地的审核权限，按照《中华人民共和国森林法实施条例》的有关规定执行。建设项目占用林地，经林业主管部门审核同意后，建设单位和个人应当依照法律法规的规定办理建设用地审批手续。</w:t>
      </w:r>
    </w:p>
    <w:p w14:paraId="519E1EB4">
      <w:pPr>
        <w:pStyle w:val="3"/>
        <w:numPr>
          <w:ilvl w:val="1"/>
          <w:numId w:val="0"/>
        </w:numPr>
        <w:tabs>
          <w:tab w:val="clear" w:pos="420"/>
        </w:tabs>
        <w:bidi w:val="0"/>
        <w:ind w:left="575" w:leftChars="0" w:hanging="575" w:firstLineChars="0"/>
        <w:rPr>
          <w:rFonts w:hint="default"/>
          <w:sz w:val="32"/>
          <w:szCs w:val="32"/>
          <w:lang w:val="en-US" w:eastAsia="zh-CN"/>
        </w:rPr>
      </w:pPr>
      <w:bookmarkStart w:id="98" w:name="_Toc13748"/>
      <w:bookmarkStart w:id="99" w:name="_Toc18284"/>
      <w:bookmarkStart w:id="100" w:name="_Toc22377"/>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.7.</w:t>
      </w:r>
      <w:r>
        <w:rPr>
          <w:rFonts w:hint="default"/>
          <w:sz w:val="32"/>
          <w:szCs w:val="32"/>
          <w:lang w:val="en-US" w:eastAsia="zh-CN"/>
        </w:rPr>
        <w:t>创新供地方式，提高成片开发用地效益</w:t>
      </w:r>
      <w:bookmarkEnd w:id="98"/>
      <w:bookmarkEnd w:id="99"/>
      <w:bookmarkEnd w:id="100"/>
    </w:p>
    <w:p w14:paraId="36F7575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推行产业用地弹性年期出让、长期租赁、先租后让、租让结合等供地方式，在法定最高有偿使用年限内，根据产业发展要求灵活确定国有建设用地出让年限和供应方式、以长期租赁、先租后让、租让结合方式供应土地的，依法登记后，办理规划报建和抵押融资手续。产业项目土地用途为工业用地、仓储用地的，可将产业类型、生产技术、产业标准、产品品质、节地技术等要求作为土地供应的前置条件，采取带项目招标或者挂牌方式供地。</w:t>
      </w:r>
    </w:p>
    <w:p w14:paraId="266BAC3A">
      <w:pPr>
        <w:pStyle w:val="3"/>
        <w:numPr>
          <w:ilvl w:val="1"/>
          <w:numId w:val="0"/>
        </w:numPr>
        <w:tabs>
          <w:tab w:val="clear" w:pos="420"/>
        </w:tabs>
        <w:bidi w:val="0"/>
        <w:ind w:left="575" w:leftChars="0" w:hanging="575" w:firstLineChars="0"/>
        <w:rPr>
          <w:rFonts w:hint="default"/>
          <w:sz w:val="32"/>
          <w:szCs w:val="32"/>
          <w:lang w:val="en-US" w:eastAsia="zh-CN"/>
        </w:rPr>
      </w:pPr>
      <w:bookmarkStart w:id="101" w:name="_Toc19700"/>
      <w:bookmarkStart w:id="102" w:name="_Toc3831"/>
      <w:bookmarkStart w:id="103" w:name="_Toc26606"/>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.8.</w:t>
      </w:r>
      <w:r>
        <w:rPr>
          <w:rFonts w:hint="default"/>
          <w:sz w:val="32"/>
          <w:szCs w:val="32"/>
          <w:lang w:val="en-US" w:eastAsia="zh-CN"/>
        </w:rPr>
        <w:t>加强供应监管，提高节约集约用地水平</w:t>
      </w:r>
      <w:bookmarkEnd w:id="101"/>
      <w:bookmarkEnd w:id="102"/>
      <w:bookmarkEnd w:id="103"/>
    </w:p>
    <w:p w14:paraId="1E00C4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加强土地供应监管，建立全生命周期用地管理机制，综合运用大数据、信息化手段，强化用地“批供用”全流程监管。开展建设用地节约集约利用状况评价，全面分析成片开发土地节约集约状况，强化节约集约用地效能考核，提高节约集约用地水平。</w:t>
      </w:r>
    </w:p>
    <w:p w14:paraId="12B11B02">
      <w:pP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3305180E">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pPr>
      <w:bookmarkStart w:id="104" w:name="_Toc5196"/>
      <w:r>
        <w:rPr>
          <w:rFonts w:hint="eastAsia" w:cs="Times New Roman"/>
          <w:b/>
          <w:bCs/>
          <w:kern w:val="44"/>
          <w:sz w:val="40"/>
          <w:szCs w:val="40"/>
          <w:lang w:val="en-US" w:eastAsia="zh-CN"/>
        </w:rPr>
        <w:t>9</w:t>
      </w:r>
      <w:r>
        <w:rPr>
          <w:rFonts w:hint="default" w:ascii="Times New Roman" w:hAnsi="Times New Roman" w:eastAsia="仿宋" w:cs="Times New Roman"/>
          <w:b/>
          <w:bCs/>
          <w:kern w:val="44"/>
          <w:sz w:val="40"/>
          <w:szCs w:val="40"/>
          <w:lang w:val="en-US" w:eastAsia="zh-CN"/>
        </w:rPr>
        <w:t>.结论</w:t>
      </w:r>
      <w:bookmarkEnd w:id="104"/>
    </w:p>
    <w:p w14:paraId="76F41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1、片区共计8个，片区面积66.0992公顷，拟征收项目地块9个，项目用地面积45.9447公顷，拟征收面积45.9447公顷，实施周期为2025年。</w:t>
      </w:r>
    </w:p>
    <w:p w14:paraId="6D449B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2、开发区内成片开发范围的公益性用地比例为29.13%，大于25%；开发区外其他成片开发范围的公益性用地比例为48.16%，大于40%。</w:t>
      </w:r>
    </w:p>
    <w:p w14:paraId="3B2329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方案位于国土空间规划确定的城镇开发边界内的集中建设区，符合高平市国民经济和社会发展规划，已纳入高平市国民经济和社会发展年度计划。</w:t>
      </w:r>
    </w:p>
    <w:p w14:paraId="0DC9EB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FF0000"/>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4、方案不涉及永久基本农田和生态保护红线，且高平市上年度不存在大量批而未供或闲置土地的情况，不存在连续两年未完成已批准实施的土地征收成片开发实施计划的情况，符合方案上报审查要求。</w:t>
      </w:r>
    </w:p>
    <w:p w14:paraId="7A064E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5、方案有利于区域经济转型与产业结构优化；有利于提升土地利用集约节约水平，推动增量用地布局优化与存量用地盘活。</w:t>
      </w:r>
    </w:p>
    <w:p w14:paraId="116EE3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综上所述，《高平市2025年土地征收成片开发方案》符合《自然资源部关于印发〈土地征收成片开发标准〉的通知》（自然资规〔2023〕7号）、《山西省自然资源厅关于印发〈山西省土地征收成片开发标准实施细则〉的通知》（晋自然资发〔2024〕18号）等文件的要求。</w:t>
      </w:r>
    </w:p>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EE1F">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9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F86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AA75">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7A95AF79">
    <w:pPr>
      <w:tabs>
        <w:tab w:val="center" w:pos="4153"/>
        <w:tab w:val="right" w:pos="8306"/>
      </w:tabs>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F4F7">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011DB2AF">
    <w:pPr>
      <w:tabs>
        <w:tab w:val="center" w:pos="4153"/>
        <w:tab w:val="right" w:pos="8306"/>
      </w:tabs>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A05C"/>
    <w:multiLevelType w:val="multilevel"/>
    <w:tmpl w:val="50C0A05C"/>
    <w:lvl w:ilvl="0" w:tentative="0">
      <w:start w:val="1"/>
      <w:numFmt w:val="decimal"/>
      <w:pStyle w:val="2"/>
      <w:suff w:val="nothing"/>
      <w:lvlText w:val="%1."/>
      <w:lvlJc w:val="center"/>
      <w:pPr>
        <w:tabs>
          <w:tab w:val="left" w:pos="420"/>
        </w:tabs>
        <w:ind w:left="432" w:hanging="432"/>
      </w:pPr>
      <w:rPr>
        <w:rFonts w:hint="default"/>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59"/>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mQwZDE4MWRkODU1M2VjY2MxYmFhNjhlODE3NjAifQ=="/>
  </w:docVars>
  <w:rsids>
    <w:rsidRoot w:val="00172A27"/>
    <w:rsid w:val="000C1FF9"/>
    <w:rsid w:val="001B7925"/>
    <w:rsid w:val="00276538"/>
    <w:rsid w:val="003577A2"/>
    <w:rsid w:val="00365D13"/>
    <w:rsid w:val="003E54D4"/>
    <w:rsid w:val="006311DA"/>
    <w:rsid w:val="006360BD"/>
    <w:rsid w:val="00681B8A"/>
    <w:rsid w:val="00734E25"/>
    <w:rsid w:val="0078143C"/>
    <w:rsid w:val="008E0C60"/>
    <w:rsid w:val="00944C50"/>
    <w:rsid w:val="00975DF3"/>
    <w:rsid w:val="00A27882"/>
    <w:rsid w:val="00AB3423"/>
    <w:rsid w:val="00B2494E"/>
    <w:rsid w:val="00B34E98"/>
    <w:rsid w:val="00B92181"/>
    <w:rsid w:val="00BB3081"/>
    <w:rsid w:val="00BE32F3"/>
    <w:rsid w:val="00CF7D23"/>
    <w:rsid w:val="00EF5BA2"/>
    <w:rsid w:val="00F74A57"/>
    <w:rsid w:val="00FB444F"/>
    <w:rsid w:val="00FE788A"/>
    <w:rsid w:val="01062EEC"/>
    <w:rsid w:val="010F3618"/>
    <w:rsid w:val="01121891"/>
    <w:rsid w:val="011E73A3"/>
    <w:rsid w:val="01247153"/>
    <w:rsid w:val="012539AF"/>
    <w:rsid w:val="01324EC1"/>
    <w:rsid w:val="0137560F"/>
    <w:rsid w:val="01381965"/>
    <w:rsid w:val="014047A3"/>
    <w:rsid w:val="01523901"/>
    <w:rsid w:val="01537DDF"/>
    <w:rsid w:val="0156177E"/>
    <w:rsid w:val="015D067A"/>
    <w:rsid w:val="01631BFA"/>
    <w:rsid w:val="018A4FFC"/>
    <w:rsid w:val="019F1377"/>
    <w:rsid w:val="01A7022B"/>
    <w:rsid w:val="01A85D51"/>
    <w:rsid w:val="01AE12BB"/>
    <w:rsid w:val="01B046EE"/>
    <w:rsid w:val="01C8325B"/>
    <w:rsid w:val="01D442E3"/>
    <w:rsid w:val="01E16D3F"/>
    <w:rsid w:val="01E70628"/>
    <w:rsid w:val="01EE34BD"/>
    <w:rsid w:val="01F561BC"/>
    <w:rsid w:val="02072F23"/>
    <w:rsid w:val="020B7377"/>
    <w:rsid w:val="02117D9A"/>
    <w:rsid w:val="022655F4"/>
    <w:rsid w:val="02274EC8"/>
    <w:rsid w:val="02290253"/>
    <w:rsid w:val="023B5157"/>
    <w:rsid w:val="02483192"/>
    <w:rsid w:val="025B19F1"/>
    <w:rsid w:val="026262F5"/>
    <w:rsid w:val="02631892"/>
    <w:rsid w:val="027112CC"/>
    <w:rsid w:val="02811C50"/>
    <w:rsid w:val="02890D12"/>
    <w:rsid w:val="02987B74"/>
    <w:rsid w:val="02AD1D1B"/>
    <w:rsid w:val="02AE1145"/>
    <w:rsid w:val="02B06745"/>
    <w:rsid w:val="02B07E7A"/>
    <w:rsid w:val="02B726F0"/>
    <w:rsid w:val="02BA0D7D"/>
    <w:rsid w:val="02BC7D6E"/>
    <w:rsid w:val="02C81745"/>
    <w:rsid w:val="02DB1BA1"/>
    <w:rsid w:val="02EE7D45"/>
    <w:rsid w:val="02F53F07"/>
    <w:rsid w:val="030324B2"/>
    <w:rsid w:val="032B6C3A"/>
    <w:rsid w:val="032C7F14"/>
    <w:rsid w:val="032E28DB"/>
    <w:rsid w:val="03333611"/>
    <w:rsid w:val="034352CA"/>
    <w:rsid w:val="03583F56"/>
    <w:rsid w:val="035A2387"/>
    <w:rsid w:val="035C6BEC"/>
    <w:rsid w:val="035E2049"/>
    <w:rsid w:val="03806F86"/>
    <w:rsid w:val="038C06E0"/>
    <w:rsid w:val="038E5082"/>
    <w:rsid w:val="03922815"/>
    <w:rsid w:val="03AD764F"/>
    <w:rsid w:val="03C24DBB"/>
    <w:rsid w:val="03CF6866"/>
    <w:rsid w:val="03DC50F5"/>
    <w:rsid w:val="03DE2286"/>
    <w:rsid w:val="03E413F2"/>
    <w:rsid w:val="03F22DBB"/>
    <w:rsid w:val="041A00C8"/>
    <w:rsid w:val="042D0ACF"/>
    <w:rsid w:val="04451556"/>
    <w:rsid w:val="04477AA3"/>
    <w:rsid w:val="04891E6A"/>
    <w:rsid w:val="048B7990"/>
    <w:rsid w:val="048F0840"/>
    <w:rsid w:val="04942A26"/>
    <w:rsid w:val="04956A61"/>
    <w:rsid w:val="04991296"/>
    <w:rsid w:val="049963F4"/>
    <w:rsid w:val="04A77B1E"/>
    <w:rsid w:val="04AA4F16"/>
    <w:rsid w:val="04BF588C"/>
    <w:rsid w:val="04C241D8"/>
    <w:rsid w:val="04C410F4"/>
    <w:rsid w:val="04C94E3D"/>
    <w:rsid w:val="04CE2A08"/>
    <w:rsid w:val="04CE32A6"/>
    <w:rsid w:val="04D208F9"/>
    <w:rsid w:val="04D45418"/>
    <w:rsid w:val="04D61A04"/>
    <w:rsid w:val="04E34FE5"/>
    <w:rsid w:val="04EE7C19"/>
    <w:rsid w:val="04EF2712"/>
    <w:rsid w:val="050046C8"/>
    <w:rsid w:val="05094D59"/>
    <w:rsid w:val="05141CEE"/>
    <w:rsid w:val="051E4594"/>
    <w:rsid w:val="05212FA2"/>
    <w:rsid w:val="0523361D"/>
    <w:rsid w:val="052B7C3D"/>
    <w:rsid w:val="052E1A16"/>
    <w:rsid w:val="053242B0"/>
    <w:rsid w:val="0536190C"/>
    <w:rsid w:val="05614B95"/>
    <w:rsid w:val="058837D2"/>
    <w:rsid w:val="059C5BCD"/>
    <w:rsid w:val="059C797B"/>
    <w:rsid w:val="05AF22C7"/>
    <w:rsid w:val="05B05F01"/>
    <w:rsid w:val="05BA7D22"/>
    <w:rsid w:val="05C80770"/>
    <w:rsid w:val="05CB200E"/>
    <w:rsid w:val="05CB6324"/>
    <w:rsid w:val="05CD5B49"/>
    <w:rsid w:val="05CF7D50"/>
    <w:rsid w:val="05D365E4"/>
    <w:rsid w:val="05DB04A3"/>
    <w:rsid w:val="05EC0902"/>
    <w:rsid w:val="061439B5"/>
    <w:rsid w:val="06147E59"/>
    <w:rsid w:val="06180B73"/>
    <w:rsid w:val="061B4D44"/>
    <w:rsid w:val="0621224B"/>
    <w:rsid w:val="06340D73"/>
    <w:rsid w:val="064C7016"/>
    <w:rsid w:val="06502589"/>
    <w:rsid w:val="06532730"/>
    <w:rsid w:val="066050DA"/>
    <w:rsid w:val="06732CF5"/>
    <w:rsid w:val="0680104B"/>
    <w:rsid w:val="06933D53"/>
    <w:rsid w:val="069A65B0"/>
    <w:rsid w:val="06B34F7C"/>
    <w:rsid w:val="06B91B8C"/>
    <w:rsid w:val="06BE165D"/>
    <w:rsid w:val="06C336A9"/>
    <w:rsid w:val="06E00B7D"/>
    <w:rsid w:val="07074C54"/>
    <w:rsid w:val="07174EC6"/>
    <w:rsid w:val="071C0D73"/>
    <w:rsid w:val="07235486"/>
    <w:rsid w:val="0732115C"/>
    <w:rsid w:val="07375B9E"/>
    <w:rsid w:val="074917EE"/>
    <w:rsid w:val="074F1149"/>
    <w:rsid w:val="0759537E"/>
    <w:rsid w:val="07621BE9"/>
    <w:rsid w:val="076B4F66"/>
    <w:rsid w:val="07740BAF"/>
    <w:rsid w:val="077527CF"/>
    <w:rsid w:val="0790350F"/>
    <w:rsid w:val="07A0147A"/>
    <w:rsid w:val="07AD0A1C"/>
    <w:rsid w:val="07AF43D8"/>
    <w:rsid w:val="07B2792A"/>
    <w:rsid w:val="07DC0503"/>
    <w:rsid w:val="07E51C88"/>
    <w:rsid w:val="07E5385B"/>
    <w:rsid w:val="07F070FE"/>
    <w:rsid w:val="07F700E8"/>
    <w:rsid w:val="08024366"/>
    <w:rsid w:val="0808754A"/>
    <w:rsid w:val="080F08D8"/>
    <w:rsid w:val="08167EB9"/>
    <w:rsid w:val="082425D6"/>
    <w:rsid w:val="082D6FB0"/>
    <w:rsid w:val="0835432E"/>
    <w:rsid w:val="084A33AE"/>
    <w:rsid w:val="08597DA5"/>
    <w:rsid w:val="086C7AD9"/>
    <w:rsid w:val="086F2BBC"/>
    <w:rsid w:val="087972AF"/>
    <w:rsid w:val="087E6310"/>
    <w:rsid w:val="08BE41F4"/>
    <w:rsid w:val="08C00181"/>
    <w:rsid w:val="08C162B9"/>
    <w:rsid w:val="08C55F22"/>
    <w:rsid w:val="08C571E9"/>
    <w:rsid w:val="08C72F61"/>
    <w:rsid w:val="08EB30F3"/>
    <w:rsid w:val="08F875BE"/>
    <w:rsid w:val="09043664"/>
    <w:rsid w:val="09064065"/>
    <w:rsid w:val="091B57F8"/>
    <w:rsid w:val="092E5A25"/>
    <w:rsid w:val="09381A12"/>
    <w:rsid w:val="09463FB2"/>
    <w:rsid w:val="0947661E"/>
    <w:rsid w:val="094B63B0"/>
    <w:rsid w:val="09510D55"/>
    <w:rsid w:val="09547CAD"/>
    <w:rsid w:val="097A6872"/>
    <w:rsid w:val="097A764F"/>
    <w:rsid w:val="097F1A8E"/>
    <w:rsid w:val="09896468"/>
    <w:rsid w:val="09970B85"/>
    <w:rsid w:val="09A171AC"/>
    <w:rsid w:val="09A6526C"/>
    <w:rsid w:val="09C005B2"/>
    <w:rsid w:val="09C1299A"/>
    <w:rsid w:val="09D5345C"/>
    <w:rsid w:val="09D750A5"/>
    <w:rsid w:val="09F2400E"/>
    <w:rsid w:val="09F63266"/>
    <w:rsid w:val="09FE29B2"/>
    <w:rsid w:val="0A0A75A9"/>
    <w:rsid w:val="0A1C02C4"/>
    <w:rsid w:val="0A1D5D4B"/>
    <w:rsid w:val="0A3F2D93"/>
    <w:rsid w:val="0A4707FD"/>
    <w:rsid w:val="0A684239"/>
    <w:rsid w:val="0A857FE9"/>
    <w:rsid w:val="0A8E5717"/>
    <w:rsid w:val="0A947417"/>
    <w:rsid w:val="0AA74CD1"/>
    <w:rsid w:val="0AC61847"/>
    <w:rsid w:val="0AD71885"/>
    <w:rsid w:val="0AD7289B"/>
    <w:rsid w:val="0ADF4E2E"/>
    <w:rsid w:val="0AEF054D"/>
    <w:rsid w:val="0AFB5144"/>
    <w:rsid w:val="0AFD6A90"/>
    <w:rsid w:val="0AFE682D"/>
    <w:rsid w:val="0B186AF0"/>
    <w:rsid w:val="0B2263F1"/>
    <w:rsid w:val="0B3568A8"/>
    <w:rsid w:val="0B446AEB"/>
    <w:rsid w:val="0B500328"/>
    <w:rsid w:val="0B5517D9"/>
    <w:rsid w:val="0B5A409F"/>
    <w:rsid w:val="0B753148"/>
    <w:rsid w:val="0B97722E"/>
    <w:rsid w:val="0B9A670B"/>
    <w:rsid w:val="0BA97712"/>
    <w:rsid w:val="0BB10DA4"/>
    <w:rsid w:val="0BBF6171"/>
    <w:rsid w:val="0BC31EE2"/>
    <w:rsid w:val="0BCF7CCC"/>
    <w:rsid w:val="0BD52983"/>
    <w:rsid w:val="0BE71621"/>
    <w:rsid w:val="0BEE0EBF"/>
    <w:rsid w:val="0BFF07E0"/>
    <w:rsid w:val="0C1666D9"/>
    <w:rsid w:val="0C2B0D00"/>
    <w:rsid w:val="0C351053"/>
    <w:rsid w:val="0C4F1BEB"/>
    <w:rsid w:val="0C5734B3"/>
    <w:rsid w:val="0C5D6C82"/>
    <w:rsid w:val="0C7043B9"/>
    <w:rsid w:val="0C9C25A8"/>
    <w:rsid w:val="0CAA0BCF"/>
    <w:rsid w:val="0CBB102F"/>
    <w:rsid w:val="0CC509F4"/>
    <w:rsid w:val="0CC65773"/>
    <w:rsid w:val="0CC954FA"/>
    <w:rsid w:val="0CD15608"/>
    <w:rsid w:val="0CE16AF6"/>
    <w:rsid w:val="0CE52C48"/>
    <w:rsid w:val="0CF83B56"/>
    <w:rsid w:val="0D0D2160"/>
    <w:rsid w:val="0D124F2D"/>
    <w:rsid w:val="0D1E7195"/>
    <w:rsid w:val="0D3101C2"/>
    <w:rsid w:val="0D3C254C"/>
    <w:rsid w:val="0D437156"/>
    <w:rsid w:val="0D556D8D"/>
    <w:rsid w:val="0D5D37B9"/>
    <w:rsid w:val="0D5E0D3E"/>
    <w:rsid w:val="0D65084A"/>
    <w:rsid w:val="0D766D04"/>
    <w:rsid w:val="0D7D6BE3"/>
    <w:rsid w:val="0D8B27AF"/>
    <w:rsid w:val="0D997171"/>
    <w:rsid w:val="0DA16476"/>
    <w:rsid w:val="0DAF3D29"/>
    <w:rsid w:val="0DB671A9"/>
    <w:rsid w:val="0DBC26D5"/>
    <w:rsid w:val="0DC36E7D"/>
    <w:rsid w:val="0DE2755F"/>
    <w:rsid w:val="0DE77E71"/>
    <w:rsid w:val="0DED24C1"/>
    <w:rsid w:val="0DEE2376"/>
    <w:rsid w:val="0DEF6236"/>
    <w:rsid w:val="0DF772A6"/>
    <w:rsid w:val="0E03075A"/>
    <w:rsid w:val="0E1F739B"/>
    <w:rsid w:val="0E204475"/>
    <w:rsid w:val="0E2A6B1C"/>
    <w:rsid w:val="0E4212C3"/>
    <w:rsid w:val="0E530E38"/>
    <w:rsid w:val="0E63718C"/>
    <w:rsid w:val="0E6A1EA4"/>
    <w:rsid w:val="0E782061"/>
    <w:rsid w:val="0E796BAD"/>
    <w:rsid w:val="0E7B78BC"/>
    <w:rsid w:val="0E927695"/>
    <w:rsid w:val="0E9759B5"/>
    <w:rsid w:val="0EA7186A"/>
    <w:rsid w:val="0EA97D69"/>
    <w:rsid w:val="0EBB79A7"/>
    <w:rsid w:val="0EBC2B1F"/>
    <w:rsid w:val="0EDA659D"/>
    <w:rsid w:val="0EEA5BFB"/>
    <w:rsid w:val="0EED7507"/>
    <w:rsid w:val="0EEF792D"/>
    <w:rsid w:val="0F00670E"/>
    <w:rsid w:val="0F046ABD"/>
    <w:rsid w:val="0F0476E9"/>
    <w:rsid w:val="0F155DB4"/>
    <w:rsid w:val="0F17027A"/>
    <w:rsid w:val="0F333798"/>
    <w:rsid w:val="0F3B6457"/>
    <w:rsid w:val="0F442AB9"/>
    <w:rsid w:val="0F52385D"/>
    <w:rsid w:val="0F621A09"/>
    <w:rsid w:val="0F635F33"/>
    <w:rsid w:val="0F661FCD"/>
    <w:rsid w:val="0F930DDC"/>
    <w:rsid w:val="0FA425D2"/>
    <w:rsid w:val="0FB3132F"/>
    <w:rsid w:val="0FB40DC2"/>
    <w:rsid w:val="0FB51D65"/>
    <w:rsid w:val="0FB60F90"/>
    <w:rsid w:val="0FBF3CD6"/>
    <w:rsid w:val="0FC03748"/>
    <w:rsid w:val="0FC64E53"/>
    <w:rsid w:val="0FCD5301"/>
    <w:rsid w:val="0FD50659"/>
    <w:rsid w:val="0FF06717"/>
    <w:rsid w:val="0FF52AA9"/>
    <w:rsid w:val="0FFE08D3"/>
    <w:rsid w:val="1001195F"/>
    <w:rsid w:val="10022AD1"/>
    <w:rsid w:val="1006366B"/>
    <w:rsid w:val="1008139F"/>
    <w:rsid w:val="10093E5F"/>
    <w:rsid w:val="100E0E88"/>
    <w:rsid w:val="1010343F"/>
    <w:rsid w:val="10142F05"/>
    <w:rsid w:val="101D0AFA"/>
    <w:rsid w:val="101E3DAE"/>
    <w:rsid w:val="103C1F97"/>
    <w:rsid w:val="10437371"/>
    <w:rsid w:val="104A0847"/>
    <w:rsid w:val="10726D87"/>
    <w:rsid w:val="108300B5"/>
    <w:rsid w:val="10846707"/>
    <w:rsid w:val="10886852"/>
    <w:rsid w:val="108D4996"/>
    <w:rsid w:val="10966CF4"/>
    <w:rsid w:val="10A2232D"/>
    <w:rsid w:val="10C81A94"/>
    <w:rsid w:val="10D0494F"/>
    <w:rsid w:val="10E741A0"/>
    <w:rsid w:val="10EC2FEB"/>
    <w:rsid w:val="110C5A6F"/>
    <w:rsid w:val="111C620F"/>
    <w:rsid w:val="112A6783"/>
    <w:rsid w:val="113A4A81"/>
    <w:rsid w:val="113E2CEA"/>
    <w:rsid w:val="11577C8F"/>
    <w:rsid w:val="11763776"/>
    <w:rsid w:val="1198193E"/>
    <w:rsid w:val="11A14530"/>
    <w:rsid w:val="11B0281C"/>
    <w:rsid w:val="11B36DBC"/>
    <w:rsid w:val="11B57D37"/>
    <w:rsid w:val="11C531DA"/>
    <w:rsid w:val="11C91AF8"/>
    <w:rsid w:val="11DD55A3"/>
    <w:rsid w:val="11E9219A"/>
    <w:rsid w:val="11EA6170"/>
    <w:rsid w:val="11F23ACA"/>
    <w:rsid w:val="120223F7"/>
    <w:rsid w:val="120E36A8"/>
    <w:rsid w:val="122A4C8C"/>
    <w:rsid w:val="122E6A58"/>
    <w:rsid w:val="1230601B"/>
    <w:rsid w:val="12307DC9"/>
    <w:rsid w:val="123907C5"/>
    <w:rsid w:val="125718AA"/>
    <w:rsid w:val="125B713D"/>
    <w:rsid w:val="126935D7"/>
    <w:rsid w:val="12706B96"/>
    <w:rsid w:val="127208CA"/>
    <w:rsid w:val="127952CC"/>
    <w:rsid w:val="1283439D"/>
    <w:rsid w:val="128654F4"/>
    <w:rsid w:val="12905D29"/>
    <w:rsid w:val="12940358"/>
    <w:rsid w:val="12987A0F"/>
    <w:rsid w:val="12AC2C68"/>
    <w:rsid w:val="12B04A66"/>
    <w:rsid w:val="12BA75F5"/>
    <w:rsid w:val="12C10A21"/>
    <w:rsid w:val="12CA696C"/>
    <w:rsid w:val="12D9220E"/>
    <w:rsid w:val="12DC3C5F"/>
    <w:rsid w:val="12E86732"/>
    <w:rsid w:val="12EA7F78"/>
    <w:rsid w:val="12ED6259"/>
    <w:rsid w:val="12F710DE"/>
    <w:rsid w:val="12F72695"/>
    <w:rsid w:val="12F93013"/>
    <w:rsid w:val="13011BDA"/>
    <w:rsid w:val="1301520B"/>
    <w:rsid w:val="130F3E82"/>
    <w:rsid w:val="13141656"/>
    <w:rsid w:val="13171BB5"/>
    <w:rsid w:val="132536A6"/>
    <w:rsid w:val="13353197"/>
    <w:rsid w:val="13367661"/>
    <w:rsid w:val="133703A6"/>
    <w:rsid w:val="133A34F7"/>
    <w:rsid w:val="134F2888"/>
    <w:rsid w:val="1360754B"/>
    <w:rsid w:val="13631AD8"/>
    <w:rsid w:val="13970239"/>
    <w:rsid w:val="13AA5959"/>
    <w:rsid w:val="13B14F39"/>
    <w:rsid w:val="13BA7F77"/>
    <w:rsid w:val="13BE4573"/>
    <w:rsid w:val="13C24A51"/>
    <w:rsid w:val="13C327F4"/>
    <w:rsid w:val="13C7650B"/>
    <w:rsid w:val="13D81595"/>
    <w:rsid w:val="13DF1AA7"/>
    <w:rsid w:val="13E40AD4"/>
    <w:rsid w:val="13F467B2"/>
    <w:rsid w:val="140D6614"/>
    <w:rsid w:val="1415616C"/>
    <w:rsid w:val="14172FEE"/>
    <w:rsid w:val="141F1D2E"/>
    <w:rsid w:val="142C45C0"/>
    <w:rsid w:val="142F2A6F"/>
    <w:rsid w:val="14373691"/>
    <w:rsid w:val="144A5D9E"/>
    <w:rsid w:val="144D471F"/>
    <w:rsid w:val="14697BE6"/>
    <w:rsid w:val="14715AB3"/>
    <w:rsid w:val="147D2F36"/>
    <w:rsid w:val="147E306D"/>
    <w:rsid w:val="148515D0"/>
    <w:rsid w:val="14872991"/>
    <w:rsid w:val="149D6722"/>
    <w:rsid w:val="14B1176F"/>
    <w:rsid w:val="14B536CC"/>
    <w:rsid w:val="14B66BA5"/>
    <w:rsid w:val="14BB3552"/>
    <w:rsid w:val="14CD5EB5"/>
    <w:rsid w:val="14DD1816"/>
    <w:rsid w:val="14DE623C"/>
    <w:rsid w:val="14EE5ACD"/>
    <w:rsid w:val="14EF3718"/>
    <w:rsid w:val="14FC3F92"/>
    <w:rsid w:val="15081722"/>
    <w:rsid w:val="150A66AF"/>
    <w:rsid w:val="150C12A6"/>
    <w:rsid w:val="150D7BA8"/>
    <w:rsid w:val="15192D96"/>
    <w:rsid w:val="15240802"/>
    <w:rsid w:val="1528122B"/>
    <w:rsid w:val="153B2D0D"/>
    <w:rsid w:val="1541170A"/>
    <w:rsid w:val="154366FC"/>
    <w:rsid w:val="15720785"/>
    <w:rsid w:val="15762316"/>
    <w:rsid w:val="157F1A92"/>
    <w:rsid w:val="15877D00"/>
    <w:rsid w:val="15880B0D"/>
    <w:rsid w:val="158C3568"/>
    <w:rsid w:val="158F74E8"/>
    <w:rsid w:val="15932B49"/>
    <w:rsid w:val="15A718D7"/>
    <w:rsid w:val="15AD2FA0"/>
    <w:rsid w:val="15AE7093"/>
    <w:rsid w:val="15C03212"/>
    <w:rsid w:val="15D12754"/>
    <w:rsid w:val="15D15460"/>
    <w:rsid w:val="15D50434"/>
    <w:rsid w:val="15D50EE4"/>
    <w:rsid w:val="15DD2016"/>
    <w:rsid w:val="15E677D9"/>
    <w:rsid w:val="15E877CC"/>
    <w:rsid w:val="15FF2F44"/>
    <w:rsid w:val="1604435F"/>
    <w:rsid w:val="16052322"/>
    <w:rsid w:val="160E21CF"/>
    <w:rsid w:val="162C3A84"/>
    <w:rsid w:val="1632480C"/>
    <w:rsid w:val="16442095"/>
    <w:rsid w:val="164A7771"/>
    <w:rsid w:val="164C6AB2"/>
    <w:rsid w:val="164D5BED"/>
    <w:rsid w:val="1658169C"/>
    <w:rsid w:val="16677B31"/>
    <w:rsid w:val="16730284"/>
    <w:rsid w:val="167F206F"/>
    <w:rsid w:val="16866E7C"/>
    <w:rsid w:val="16893F4C"/>
    <w:rsid w:val="16932F60"/>
    <w:rsid w:val="1696443B"/>
    <w:rsid w:val="16975328"/>
    <w:rsid w:val="16A41EC1"/>
    <w:rsid w:val="16AF3030"/>
    <w:rsid w:val="16BB01E4"/>
    <w:rsid w:val="16C15CF6"/>
    <w:rsid w:val="16D57191"/>
    <w:rsid w:val="16D75882"/>
    <w:rsid w:val="16DB245C"/>
    <w:rsid w:val="16E01F94"/>
    <w:rsid w:val="16E82A20"/>
    <w:rsid w:val="16F6595A"/>
    <w:rsid w:val="171801BE"/>
    <w:rsid w:val="1731682D"/>
    <w:rsid w:val="173B7E65"/>
    <w:rsid w:val="17406168"/>
    <w:rsid w:val="175C39C9"/>
    <w:rsid w:val="17654071"/>
    <w:rsid w:val="17671DD7"/>
    <w:rsid w:val="1775020B"/>
    <w:rsid w:val="17756A64"/>
    <w:rsid w:val="177E5132"/>
    <w:rsid w:val="178D06F8"/>
    <w:rsid w:val="179F3426"/>
    <w:rsid w:val="17CE02F8"/>
    <w:rsid w:val="17D63EFB"/>
    <w:rsid w:val="17D802D9"/>
    <w:rsid w:val="17DE56E2"/>
    <w:rsid w:val="180D67AA"/>
    <w:rsid w:val="18115FA7"/>
    <w:rsid w:val="182165C4"/>
    <w:rsid w:val="18245C55"/>
    <w:rsid w:val="182E6FA4"/>
    <w:rsid w:val="18397C4D"/>
    <w:rsid w:val="18437E1B"/>
    <w:rsid w:val="18625B1C"/>
    <w:rsid w:val="188F5243"/>
    <w:rsid w:val="189D2014"/>
    <w:rsid w:val="18A0690E"/>
    <w:rsid w:val="18C4456C"/>
    <w:rsid w:val="18CC0769"/>
    <w:rsid w:val="18E702C9"/>
    <w:rsid w:val="18EF1EAC"/>
    <w:rsid w:val="19020D9F"/>
    <w:rsid w:val="190A1ABA"/>
    <w:rsid w:val="191775ED"/>
    <w:rsid w:val="191D734D"/>
    <w:rsid w:val="192166BD"/>
    <w:rsid w:val="194505FE"/>
    <w:rsid w:val="1952658C"/>
    <w:rsid w:val="195C76F5"/>
    <w:rsid w:val="196138B6"/>
    <w:rsid w:val="196A68DD"/>
    <w:rsid w:val="196F74AB"/>
    <w:rsid w:val="1974541C"/>
    <w:rsid w:val="199A3E11"/>
    <w:rsid w:val="19A813BA"/>
    <w:rsid w:val="19AD1CFF"/>
    <w:rsid w:val="19AD6C87"/>
    <w:rsid w:val="19BB493A"/>
    <w:rsid w:val="19D329E6"/>
    <w:rsid w:val="19D90074"/>
    <w:rsid w:val="19DD0836"/>
    <w:rsid w:val="1A0A4F73"/>
    <w:rsid w:val="1A50207F"/>
    <w:rsid w:val="1A596F79"/>
    <w:rsid w:val="1A73704B"/>
    <w:rsid w:val="1A7D4D49"/>
    <w:rsid w:val="1A9169A7"/>
    <w:rsid w:val="1A966AE4"/>
    <w:rsid w:val="1A98475D"/>
    <w:rsid w:val="1AC52C13"/>
    <w:rsid w:val="1AD7066F"/>
    <w:rsid w:val="1AE325FE"/>
    <w:rsid w:val="1AF5395E"/>
    <w:rsid w:val="1AF66107"/>
    <w:rsid w:val="1AFB2B2B"/>
    <w:rsid w:val="1AFC1719"/>
    <w:rsid w:val="1B0201F1"/>
    <w:rsid w:val="1B0B3181"/>
    <w:rsid w:val="1B130A2D"/>
    <w:rsid w:val="1B1D2B8C"/>
    <w:rsid w:val="1B1E117D"/>
    <w:rsid w:val="1B1E4942"/>
    <w:rsid w:val="1B3A2C32"/>
    <w:rsid w:val="1B410951"/>
    <w:rsid w:val="1B497A2C"/>
    <w:rsid w:val="1B4B16EC"/>
    <w:rsid w:val="1B511C96"/>
    <w:rsid w:val="1B530684"/>
    <w:rsid w:val="1B5946A7"/>
    <w:rsid w:val="1B596248"/>
    <w:rsid w:val="1B6F615D"/>
    <w:rsid w:val="1B751041"/>
    <w:rsid w:val="1B943177"/>
    <w:rsid w:val="1B950DC1"/>
    <w:rsid w:val="1B987429"/>
    <w:rsid w:val="1B9C7BA1"/>
    <w:rsid w:val="1BA106E0"/>
    <w:rsid w:val="1BA36420"/>
    <w:rsid w:val="1BB6133F"/>
    <w:rsid w:val="1BC579B6"/>
    <w:rsid w:val="1BDF2EEC"/>
    <w:rsid w:val="1BE21B0B"/>
    <w:rsid w:val="1BE30BF5"/>
    <w:rsid w:val="1BE90435"/>
    <w:rsid w:val="1BEA4F37"/>
    <w:rsid w:val="1BF807D8"/>
    <w:rsid w:val="1BFA27C7"/>
    <w:rsid w:val="1C061731"/>
    <w:rsid w:val="1C122977"/>
    <w:rsid w:val="1C1B6D76"/>
    <w:rsid w:val="1C1D54D7"/>
    <w:rsid w:val="1C316C17"/>
    <w:rsid w:val="1C32204E"/>
    <w:rsid w:val="1C355336"/>
    <w:rsid w:val="1C406E5A"/>
    <w:rsid w:val="1C423533"/>
    <w:rsid w:val="1C5557E3"/>
    <w:rsid w:val="1C6F57D2"/>
    <w:rsid w:val="1C876837"/>
    <w:rsid w:val="1C8C20A0"/>
    <w:rsid w:val="1C904A13"/>
    <w:rsid w:val="1C9A1E1F"/>
    <w:rsid w:val="1C9B1AA4"/>
    <w:rsid w:val="1CA43D11"/>
    <w:rsid w:val="1CBA09BB"/>
    <w:rsid w:val="1CBB7261"/>
    <w:rsid w:val="1CBE55B6"/>
    <w:rsid w:val="1CC61A56"/>
    <w:rsid w:val="1CD00910"/>
    <w:rsid w:val="1CDA59AA"/>
    <w:rsid w:val="1CF8330D"/>
    <w:rsid w:val="1CF973E3"/>
    <w:rsid w:val="1D027DDF"/>
    <w:rsid w:val="1D266050"/>
    <w:rsid w:val="1D34597E"/>
    <w:rsid w:val="1D3C3AC6"/>
    <w:rsid w:val="1D41732E"/>
    <w:rsid w:val="1D44304E"/>
    <w:rsid w:val="1D4D182F"/>
    <w:rsid w:val="1D514927"/>
    <w:rsid w:val="1D540896"/>
    <w:rsid w:val="1D540DB7"/>
    <w:rsid w:val="1D5A3F4C"/>
    <w:rsid w:val="1D5C4168"/>
    <w:rsid w:val="1D625DD2"/>
    <w:rsid w:val="1D6A5A68"/>
    <w:rsid w:val="1D7846E8"/>
    <w:rsid w:val="1D9C56BE"/>
    <w:rsid w:val="1D9F7271"/>
    <w:rsid w:val="1DA22F6C"/>
    <w:rsid w:val="1DAA4ED3"/>
    <w:rsid w:val="1DBA1B3C"/>
    <w:rsid w:val="1DC52A83"/>
    <w:rsid w:val="1DC6338F"/>
    <w:rsid w:val="1DCF493A"/>
    <w:rsid w:val="1DD81FE2"/>
    <w:rsid w:val="1DDD0994"/>
    <w:rsid w:val="1DE00A2B"/>
    <w:rsid w:val="1E0D7210"/>
    <w:rsid w:val="1E163B83"/>
    <w:rsid w:val="1E2414FA"/>
    <w:rsid w:val="1E2D4A07"/>
    <w:rsid w:val="1E2F362A"/>
    <w:rsid w:val="1E651E55"/>
    <w:rsid w:val="1E65704C"/>
    <w:rsid w:val="1E6F7A34"/>
    <w:rsid w:val="1E7C081D"/>
    <w:rsid w:val="1E7E006C"/>
    <w:rsid w:val="1E7F2AAF"/>
    <w:rsid w:val="1E8E20FF"/>
    <w:rsid w:val="1E917E41"/>
    <w:rsid w:val="1EA062D6"/>
    <w:rsid w:val="1EA638ED"/>
    <w:rsid w:val="1EB268D8"/>
    <w:rsid w:val="1EDE6925"/>
    <w:rsid w:val="1EFC5720"/>
    <w:rsid w:val="1EFE1EA7"/>
    <w:rsid w:val="1F02489B"/>
    <w:rsid w:val="1F091B1C"/>
    <w:rsid w:val="1F274302"/>
    <w:rsid w:val="1F32665A"/>
    <w:rsid w:val="1F4415A6"/>
    <w:rsid w:val="1F4614BC"/>
    <w:rsid w:val="1F572E39"/>
    <w:rsid w:val="1F816E9C"/>
    <w:rsid w:val="1F82574E"/>
    <w:rsid w:val="1F893D64"/>
    <w:rsid w:val="1F923E71"/>
    <w:rsid w:val="1F9A0886"/>
    <w:rsid w:val="1FAF5729"/>
    <w:rsid w:val="1FB04EF2"/>
    <w:rsid w:val="1FB57B5F"/>
    <w:rsid w:val="1FD224BF"/>
    <w:rsid w:val="1FD61FB0"/>
    <w:rsid w:val="1FDC50EC"/>
    <w:rsid w:val="1FE63CBB"/>
    <w:rsid w:val="1FF65383"/>
    <w:rsid w:val="200237BC"/>
    <w:rsid w:val="20224126"/>
    <w:rsid w:val="20335EC3"/>
    <w:rsid w:val="203A4994"/>
    <w:rsid w:val="20436CFE"/>
    <w:rsid w:val="2055130D"/>
    <w:rsid w:val="20605602"/>
    <w:rsid w:val="2081340F"/>
    <w:rsid w:val="20814CC6"/>
    <w:rsid w:val="208C0EFF"/>
    <w:rsid w:val="209C728D"/>
    <w:rsid w:val="20A12D00"/>
    <w:rsid w:val="20A4390E"/>
    <w:rsid w:val="20B215A3"/>
    <w:rsid w:val="20B234C6"/>
    <w:rsid w:val="20BB02B9"/>
    <w:rsid w:val="20C37D0C"/>
    <w:rsid w:val="20CB6E6D"/>
    <w:rsid w:val="20D748F4"/>
    <w:rsid w:val="20D84335"/>
    <w:rsid w:val="20DD115A"/>
    <w:rsid w:val="2111359B"/>
    <w:rsid w:val="21223D7C"/>
    <w:rsid w:val="212B00D9"/>
    <w:rsid w:val="212E1977"/>
    <w:rsid w:val="21486EDD"/>
    <w:rsid w:val="21497278"/>
    <w:rsid w:val="215A701D"/>
    <w:rsid w:val="216C25ED"/>
    <w:rsid w:val="21893CDC"/>
    <w:rsid w:val="21A016D4"/>
    <w:rsid w:val="21A34005"/>
    <w:rsid w:val="21A6642F"/>
    <w:rsid w:val="21AF762F"/>
    <w:rsid w:val="21B61F52"/>
    <w:rsid w:val="21B94AAF"/>
    <w:rsid w:val="21BC76DD"/>
    <w:rsid w:val="21C17534"/>
    <w:rsid w:val="21C65756"/>
    <w:rsid w:val="21C67161"/>
    <w:rsid w:val="21CF4BCA"/>
    <w:rsid w:val="21D15954"/>
    <w:rsid w:val="21E01C25"/>
    <w:rsid w:val="21F901D7"/>
    <w:rsid w:val="220C21E7"/>
    <w:rsid w:val="221B28B1"/>
    <w:rsid w:val="221B74AF"/>
    <w:rsid w:val="221F7512"/>
    <w:rsid w:val="22244B28"/>
    <w:rsid w:val="222851C4"/>
    <w:rsid w:val="222B156C"/>
    <w:rsid w:val="22356D36"/>
    <w:rsid w:val="22370D00"/>
    <w:rsid w:val="223E2636"/>
    <w:rsid w:val="2246271F"/>
    <w:rsid w:val="225E003A"/>
    <w:rsid w:val="22762EA9"/>
    <w:rsid w:val="227A6A1B"/>
    <w:rsid w:val="22803E07"/>
    <w:rsid w:val="228B3E81"/>
    <w:rsid w:val="229F2CE2"/>
    <w:rsid w:val="22B26983"/>
    <w:rsid w:val="22C51945"/>
    <w:rsid w:val="22D327D6"/>
    <w:rsid w:val="22D5724B"/>
    <w:rsid w:val="22DE117B"/>
    <w:rsid w:val="22DE4EA7"/>
    <w:rsid w:val="22E41092"/>
    <w:rsid w:val="22EA513C"/>
    <w:rsid w:val="22EB1ED1"/>
    <w:rsid w:val="230010F2"/>
    <w:rsid w:val="230043C6"/>
    <w:rsid w:val="230E6FED"/>
    <w:rsid w:val="23104BF2"/>
    <w:rsid w:val="231A6B74"/>
    <w:rsid w:val="23305E7B"/>
    <w:rsid w:val="23360FB7"/>
    <w:rsid w:val="233E640A"/>
    <w:rsid w:val="23461B9F"/>
    <w:rsid w:val="23476D20"/>
    <w:rsid w:val="234B6811"/>
    <w:rsid w:val="234D7DEC"/>
    <w:rsid w:val="23502860"/>
    <w:rsid w:val="23537D8D"/>
    <w:rsid w:val="23641680"/>
    <w:rsid w:val="236C49D9"/>
    <w:rsid w:val="2375388E"/>
    <w:rsid w:val="237A543E"/>
    <w:rsid w:val="237F470C"/>
    <w:rsid w:val="238C6E29"/>
    <w:rsid w:val="239248EE"/>
    <w:rsid w:val="2393640A"/>
    <w:rsid w:val="239F4031"/>
    <w:rsid w:val="23A12404"/>
    <w:rsid w:val="23A44173"/>
    <w:rsid w:val="23AB3753"/>
    <w:rsid w:val="23C65C3E"/>
    <w:rsid w:val="23CC0018"/>
    <w:rsid w:val="23CD7EEE"/>
    <w:rsid w:val="23CE2F9E"/>
    <w:rsid w:val="23D82E75"/>
    <w:rsid w:val="23E87B94"/>
    <w:rsid w:val="23F01AE0"/>
    <w:rsid w:val="23FB7198"/>
    <w:rsid w:val="24013C93"/>
    <w:rsid w:val="241C58C1"/>
    <w:rsid w:val="242552B4"/>
    <w:rsid w:val="24311EAA"/>
    <w:rsid w:val="243674C1"/>
    <w:rsid w:val="24421EE4"/>
    <w:rsid w:val="244553B0"/>
    <w:rsid w:val="2447071D"/>
    <w:rsid w:val="24531956"/>
    <w:rsid w:val="24774EC1"/>
    <w:rsid w:val="24BB786B"/>
    <w:rsid w:val="24C25E55"/>
    <w:rsid w:val="24C525F3"/>
    <w:rsid w:val="24DA7C0C"/>
    <w:rsid w:val="24DB18B3"/>
    <w:rsid w:val="24ED38F7"/>
    <w:rsid w:val="24F26973"/>
    <w:rsid w:val="24F42ED8"/>
    <w:rsid w:val="251E2460"/>
    <w:rsid w:val="251E5A54"/>
    <w:rsid w:val="2535309C"/>
    <w:rsid w:val="253654BC"/>
    <w:rsid w:val="25493054"/>
    <w:rsid w:val="254C4AC2"/>
    <w:rsid w:val="25583467"/>
    <w:rsid w:val="25600CBB"/>
    <w:rsid w:val="25607E4B"/>
    <w:rsid w:val="256472D8"/>
    <w:rsid w:val="256F140C"/>
    <w:rsid w:val="25A246E2"/>
    <w:rsid w:val="25B33EF1"/>
    <w:rsid w:val="25B34B41"/>
    <w:rsid w:val="25C5414F"/>
    <w:rsid w:val="25CA6E09"/>
    <w:rsid w:val="25CB3B38"/>
    <w:rsid w:val="25E42581"/>
    <w:rsid w:val="25F50CB6"/>
    <w:rsid w:val="25FE2B31"/>
    <w:rsid w:val="260016E6"/>
    <w:rsid w:val="260525BD"/>
    <w:rsid w:val="261F4323"/>
    <w:rsid w:val="2635298F"/>
    <w:rsid w:val="26470F89"/>
    <w:rsid w:val="264D08CA"/>
    <w:rsid w:val="26522C8D"/>
    <w:rsid w:val="26562838"/>
    <w:rsid w:val="26684BBB"/>
    <w:rsid w:val="267B725B"/>
    <w:rsid w:val="2686568A"/>
    <w:rsid w:val="26865ED8"/>
    <w:rsid w:val="26904F49"/>
    <w:rsid w:val="26993D37"/>
    <w:rsid w:val="26A26963"/>
    <w:rsid w:val="26AA5F44"/>
    <w:rsid w:val="26AF53C4"/>
    <w:rsid w:val="26C850AD"/>
    <w:rsid w:val="26C9729F"/>
    <w:rsid w:val="26D23572"/>
    <w:rsid w:val="26D46B1D"/>
    <w:rsid w:val="26DE5BEE"/>
    <w:rsid w:val="26E34323"/>
    <w:rsid w:val="26E37A2C"/>
    <w:rsid w:val="26ED5E31"/>
    <w:rsid w:val="270F77B0"/>
    <w:rsid w:val="272A2BE1"/>
    <w:rsid w:val="27315D1D"/>
    <w:rsid w:val="2732478D"/>
    <w:rsid w:val="27450BAC"/>
    <w:rsid w:val="274911F4"/>
    <w:rsid w:val="274C0DA9"/>
    <w:rsid w:val="274C1AFB"/>
    <w:rsid w:val="275F216D"/>
    <w:rsid w:val="276C1B9A"/>
    <w:rsid w:val="278A3680"/>
    <w:rsid w:val="27914A0E"/>
    <w:rsid w:val="279369D8"/>
    <w:rsid w:val="279E11D5"/>
    <w:rsid w:val="27A243AF"/>
    <w:rsid w:val="27A94EB7"/>
    <w:rsid w:val="27AC318C"/>
    <w:rsid w:val="27B33019"/>
    <w:rsid w:val="27BE67C9"/>
    <w:rsid w:val="27C93064"/>
    <w:rsid w:val="27CD6705"/>
    <w:rsid w:val="27DA0163"/>
    <w:rsid w:val="27DA376A"/>
    <w:rsid w:val="27DC1AFE"/>
    <w:rsid w:val="27E76F8A"/>
    <w:rsid w:val="28316238"/>
    <w:rsid w:val="28485FFE"/>
    <w:rsid w:val="284E0B51"/>
    <w:rsid w:val="286F2FA1"/>
    <w:rsid w:val="28952684"/>
    <w:rsid w:val="289C7B0E"/>
    <w:rsid w:val="28A5750F"/>
    <w:rsid w:val="28A73CC4"/>
    <w:rsid w:val="28A81A10"/>
    <w:rsid w:val="28AD5878"/>
    <w:rsid w:val="28B6125E"/>
    <w:rsid w:val="28BC70FA"/>
    <w:rsid w:val="28BD7BFD"/>
    <w:rsid w:val="28C005E6"/>
    <w:rsid w:val="28CA467C"/>
    <w:rsid w:val="28D728F5"/>
    <w:rsid w:val="28DB1A73"/>
    <w:rsid w:val="28E1264A"/>
    <w:rsid w:val="28E31B32"/>
    <w:rsid w:val="28E72633"/>
    <w:rsid w:val="29080D00"/>
    <w:rsid w:val="290B134C"/>
    <w:rsid w:val="2912392D"/>
    <w:rsid w:val="291726F5"/>
    <w:rsid w:val="292E6355"/>
    <w:rsid w:val="29354EE6"/>
    <w:rsid w:val="293B11F2"/>
    <w:rsid w:val="29451F54"/>
    <w:rsid w:val="295108F9"/>
    <w:rsid w:val="2958510C"/>
    <w:rsid w:val="295E3016"/>
    <w:rsid w:val="296C2D63"/>
    <w:rsid w:val="296D3A7A"/>
    <w:rsid w:val="29701E5C"/>
    <w:rsid w:val="29785E86"/>
    <w:rsid w:val="297D67BB"/>
    <w:rsid w:val="298A7967"/>
    <w:rsid w:val="29916F47"/>
    <w:rsid w:val="299B1D3E"/>
    <w:rsid w:val="299B7DC6"/>
    <w:rsid w:val="29A53FE1"/>
    <w:rsid w:val="29A71B7B"/>
    <w:rsid w:val="29A96106"/>
    <w:rsid w:val="29B3119E"/>
    <w:rsid w:val="29B65B9D"/>
    <w:rsid w:val="29CD7A1E"/>
    <w:rsid w:val="29CF181E"/>
    <w:rsid w:val="29DF5F05"/>
    <w:rsid w:val="29EC2720"/>
    <w:rsid w:val="2A010565"/>
    <w:rsid w:val="2A027E45"/>
    <w:rsid w:val="2A0A1BAB"/>
    <w:rsid w:val="2A321A45"/>
    <w:rsid w:val="2A3A75B6"/>
    <w:rsid w:val="2A410596"/>
    <w:rsid w:val="2A450A1E"/>
    <w:rsid w:val="2A47213D"/>
    <w:rsid w:val="2A4E308A"/>
    <w:rsid w:val="2A634987"/>
    <w:rsid w:val="2A6D5736"/>
    <w:rsid w:val="2A8B4CB1"/>
    <w:rsid w:val="2A924D25"/>
    <w:rsid w:val="2A9C2A50"/>
    <w:rsid w:val="2AA44602"/>
    <w:rsid w:val="2AB83917"/>
    <w:rsid w:val="2ABA7F5B"/>
    <w:rsid w:val="2ABC6246"/>
    <w:rsid w:val="2AC5334C"/>
    <w:rsid w:val="2AC71B20"/>
    <w:rsid w:val="2AC93DBF"/>
    <w:rsid w:val="2AE764AE"/>
    <w:rsid w:val="2AF10B00"/>
    <w:rsid w:val="2AF43712"/>
    <w:rsid w:val="2AF845B8"/>
    <w:rsid w:val="2B0C2313"/>
    <w:rsid w:val="2B1020EE"/>
    <w:rsid w:val="2B297614"/>
    <w:rsid w:val="2B3F33CA"/>
    <w:rsid w:val="2B3F6309"/>
    <w:rsid w:val="2B4759C9"/>
    <w:rsid w:val="2B592BB0"/>
    <w:rsid w:val="2B60255B"/>
    <w:rsid w:val="2B6427DE"/>
    <w:rsid w:val="2B715D5A"/>
    <w:rsid w:val="2B823D8B"/>
    <w:rsid w:val="2B880D13"/>
    <w:rsid w:val="2B906F6D"/>
    <w:rsid w:val="2B964CE9"/>
    <w:rsid w:val="2B996125"/>
    <w:rsid w:val="2BAB1468"/>
    <w:rsid w:val="2BB132FD"/>
    <w:rsid w:val="2BB33C78"/>
    <w:rsid w:val="2BC71C44"/>
    <w:rsid w:val="2BC93E7E"/>
    <w:rsid w:val="2BCE7FDF"/>
    <w:rsid w:val="2BD332B8"/>
    <w:rsid w:val="2BDB2AE3"/>
    <w:rsid w:val="2BE47802"/>
    <w:rsid w:val="2BE94B33"/>
    <w:rsid w:val="2C094795"/>
    <w:rsid w:val="2C0A245A"/>
    <w:rsid w:val="2C0C1F4D"/>
    <w:rsid w:val="2C0F59BD"/>
    <w:rsid w:val="2C1520B2"/>
    <w:rsid w:val="2C1B41F2"/>
    <w:rsid w:val="2C273823"/>
    <w:rsid w:val="2C283E84"/>
    <w:rsid w:val="2C3167C0"/>
    <w:rsid w:val="2C376D23"/>
    <w:rsid w:val="2C544CAD"/>
    <w:rsid w:val="2C5C383D"/>
    <w:rsid w:val="2C65448F"/>
    <w:rsid w:val="2C6B7F24"/>
    <w:rsid w:val="2C717A1F"/>
    <w:rsid w:val="2C7B1249"/>
    <w:rsid w:val="2C7C0CBF"/>
    <w:rsid w:val="2C803D25"/>
    <w:rsid w:val="2C896078"/>
    <w:rsid w:val="2C8A7A30"/>
    <w:rsid w:val="2CA57561"/>
    <w:rsid w:val="2CA70830"/>
    <w:rsid w:val="2CA927FA"/>
    <w:rsid w:val="2CAD3ED7"/>
    <w:rsid w:val="2CDC2BCF"/>
    <w:rsid w:val="2CED6B8B"/>
    <w:rsid w:val="2CF03F85"/>
    <w:rsid w:val="2CF61AC3"/>
    <w:rsid w:val="2CFE66A2"/>
    <w:rsid w:val="2D03015C"/>
    <w:rsid w:val="2D0631B4"/>
    <w:rsid w:val="2D0B7011"/>
    <w:rsid w:val="2D1A5575"/>
    <w:rsid w:val="2D1D66E1"/>
    <w:rsid w:val="2D26493A"/>
    <w:rsid w:val="2D405FFF"/>
    <w:rsid w:val="2D567BED"/>
    <w:rsid w:val="2D583E54"/>
    <w:rsid w:val="2D591CE4"/>
    <w:rsid w:val="2D651F71"/>
    <w:rsid w:val="2D8F19F0"/>
    <w:rsid w:val="2D9E3EE5"/>
    <w:rsid w:val="2DB846BC"/>
    <w:rsid w:val="2DEB679E"/>
    <w:rsid w:val="2E02176B"/>
    <w:rsid w:val="2E0665F1"/>
    <w:rsid w:val="2E074EB4"/>
    <w:rsid w:val="2E091797"/>
    <w:rsid w:val="2E0F2B31"/>
    <w:rsid w:val="2E106174"/>
    <w:rsid w:val="2E1343CF"/>
    <w:rsid w:val="2E2F24A3"/>
    <w:rsid w:val="2E42395C"/>
    <w:rsid w:val="2E531266"/>
    <w:rsid w:val="2E7F5800"/>
    <w:rsid w:val="2E802E56"/>
    <w:rsid w:val="2EAC4B33"/>
    <w:rsid w:val="2EB711FE"/>
    <w:rsid w:val="2EBB5196"/>
    <w:rsid w:val="2EC13E2B"/>
    <w:rsid w:val="2ECC11C9"/>
    <w:rsid w:val="2ECF5724"/>
    <w:rsid w:val="2ED17A40"/>
    <w:rsid w:val="2ED35D91"/>
    <w:rsid w:val="2ED83965"/>
    <w:rsid w:val="2EE04163"/>
    <w:rsid w:val="2EFF2BA5"/>
    <w:rsid w:val="2F041F69"/>
    <w:rsid w:val="2F060BAD"/>
    <w:rsid w:val="2F1505F4"/>
    <w:rsid w:val="2F1A353B"/>
    <w:rsid w:val="2F3C216D"/>
    <w:rsid w:val="2F4058E6"/>
    <w:rsid w:val="2F4B26CD"/>
    <w:rsid w:val="2F4F67F6"/>
    <w:rsid w:val="2F57653D"/>
    <w:rsid w:val="2F5B602D"/>
    <w:rsid w:val="2F5F4047"/>
    <w:rsid w:val="2F634EE2"/>
    <w:rsid w:val="2F6F3887"/>
    <w:rsid w:val="2F706B6F"/>
    <w:rsid w:val="2F723377"/>
    <w:rsid w:val="2F755688"/>
    <w:rsid w:val="2F7914EB"/>
    <w:rsid w:val="2F7C0857"/>
    <w:rsid w:val="2F9B0400"/>
    <w:rsid w:val="2F9B23DF"/>
    <w:rsid w:val="2FA84FEB"/>
    <w:rsid w:val="2FBD7FED"/>
    <w:rsid w:val="2FC02D3A"/>
    <w:rsid w:val="2FC35981"/>
    <w:rsid w:val="2FC5732C"/>
    <w:rsid w:val="2FC71915"/>
    <w:rsid w:val="2FCE470B"/>
    <w:rsid w:val="2FD23E16"/>
    <w:rsid w:val="2FD76EFE"/>
    <w:rsid w:val="2FE57FED"/>
    <w:rsid w:val="2FEF6212"/>
    <w:rsid w:val="30231C12"/>
    <w:rsid w:val="30234671"/>
    <w:rsid w:val="302414B9"/>
    <w:rsid w:val="30266459"/>
    <w:rsid w:val="30326802"/>
    <w:rsid w:val="303947E6"/>
    <w:rsid w:val="30470360"/>
    <w:rsid w:val="30482CAF"/>
    <w:rsid w:val="30586A11"/>
    <w:rsid w:val="306B4D61"/>
    <w:rsid w:val="306D224E"/>
    <w:rsid w:val="306E3B3E"/>
    <w:rsid w:val="3079289A"/>
    <w:rsid w:val="307943E5"/>
    <w:rsid w:val="30797A5F"/>
    <w:rsid w:val="307A24E3"/>
    <w:rsid w:val="307D0225"/>
    <w:rsid w:val="307F0D4E"/>
    <w:rsid w:val="30801AC4"/>
    <w:rsid w:val="30896BCA"/>
    <w:rsid w:val="308C2216"/>
    <w:rsid w:val="308E2BA9"/>
    <w:rsid w:val="30A12166"/>
    <w:rsid w:val="30A336F1"/>
    <w:rsid w:val="30B11C7D"/>
    <w:rsid w:val="30D2231F"/>
    <w:rsid w:val="30DA11D4"/>
    <w:rsid w:val="30E402A4"/>
    <w:rsid w:val="30E42070"/>
    <w:rsid w:val="30E45E57"/>
    <w:rsid w:val="30E65DCB"/>
    <w:rsid w:val="30F2476F"/>
    <w:rsid w:val="30FB79CF"/>
    <w:rsid w:val="31102E48"/>
    <w:rsid w:val="311F0D7B"/>
    <w:rsid w:val="31350B00"/>
    <w:rsid w:val="31503B0C"/>
    <w:rsid w:val="31534307"/>
    <w:rsid w:val="31552F50"/>
    <w:rsid w:val="3158388D"/>
    <w:rsid w:val="315A0275"/>
    <w:rsid w:val="316528E5"/>
    <w:rsid w:val="318178A1"/>
    <w:rsid w:val="319901C5"/>
    <w:rsid w:val="31990466"/>
    <w:rsid w:val="319B4E07"/>
    <w:rsid w:val="31AE27B5"/>
    <w:rsid w:val="31BD62B4"/>
    <w:rsid w:val="31C14142"/>
    <w:rsid w:val="31CC3212"/>
    <w:rsid w:val="31E64099"/>
    <w:rsid w:val="31F2614C"/>
    <w:rsid w:val="31F41E38"/>
    <w:rsid w:val="31F44517"/>
    <w:rsid w:val="31F632B6"/>
    <w:rsid w:val="32024E86"/>
    <w:rsid w:val="32252923"/>
    <w:rsid w:val="322700A2"/>
    <w:rsid w:val="32306BB8"/>
    <w:rsid w:val="324059AE"/>
    <w:rsid w:val="32454D73"/>
    <w:rsid w:val="324D6A2C"/>
    <w:rsid w:val="324E1C82"/>
    <w:rsid w:val="32582CF8"/>
    <w:rsid w:val="325960AD"/>
    <w:rsid w:val="329B0E37"/>
    <w:rsid w:val="329C7909"/>
    <w:rsid w:val="32B01391"/>
    <w:rsid w:val="32BC141B"/>
    <w:rsid w:val="32C75788"/>
    <w:rsid w:val="32CB34CA"/>
    <w:rsid w:val="32D63637"/>
    <w:rsid w:val="32DA2538"/>
    <w:rsid w:val="32EE0F67"/>
    <w:rsid w:val="32EF7D87"/>
    <w:rsid w:val="32FB04BD"/>
    <w:rsid w:val="32FF1A9B"/>
    <w:rsid w:val="330C0660"/>
    <w:rsid w:val="332350B4"/>
    <w:rsid w:val="332771BC"/>
    <w:rsid w:val="332901F1"/>
    <w:rsid w:val="332D6825"/>
    <w:rsid w:val="33382659"/>
    <w:rsid w:val="33462ABD"/>
    <w:rsid w:val="3352058F"/>
    <w:rsid w:val="33574D5E"/>
    <w:rsid w:val="337A53FA"/>
    <w:rsid w:val="339F6AC1"/>
    <w:rsid w:val="33BA46CF"/>
    <w:rsid w:val="33BE77B4"/>
    <w:rsid w:val="33C10429"/>
    <w:rsid w:val="33C341A1"/>
    <w:rsid w:val="33C50630"/>
    <w:rsid w:val="33C92FDD"/>
    <w:rsid w:val="33EB4DE8"/>
    <w:rsid w:val="33EC5824"/>
    <w:rsid w:val="33FF778B"/>
    <w:rsid w:val="340842AA"/>
    <w:rsid w:val="340F73E6"/>
    <w:rsid w:val="34117602"/>
    <w:rsid w:val="342A6F7B"/>
    <w:rsid w:val="342A7BA0"/>
    <w:rsid w:val="344509F9"/>
    <w:rsid w:val="344A48C2"/>
    <w:rsid w:val="346E05B1"/>
    <w:rsid w:val="348117CF"/>
    <w:rsid w:val="34865D22"/>
    <w:rsid w:val="34871673"/>
    <w:rsid w:val="348D23BC"/>
    <w:rsid w:val="34A614B6"/>
    <w:rsid w:val="34B97B11"/>
    <w:rsid w:val="34CA155F"/>
    <w:rsid w:val="34D10E70"/>
    <w:rsid w:val="34D22F4E"/>
    <w:rsid w:val="34EF4F71"/>
    <w:rsid w:val="34F25B0A"/>
    <w:rsid w:val="35044A71"/>
    <w:rsid w:val="352660B5"/>
    <w:rsid w:val="353F1C96"/>
    <w:rsid w:val="353F1F4D"/>
    <w:rsid w:val="355050B6"/>
    <w:rsid w:val="35715D7B"/>
    <w:rsid w:val="35826BD2"/>
    <w:rsid w:val="358D2CB9"/>
    <w:rsid w:val="358E1751"/>
    <w:rsid w:val="359E6C74"/>
    <w:rsid w:val="35A10B79"/>
    <w:rsid w:val="35A149B6"/>
    <w:rsid w:val="35A60772"/>
    <w:rsid w:val="35B9585C"/>
    <w:rsid w:val="35BD3753"/>
    <w:rsid w:val="35C92943"/>
    <w:rsid w:val="35CF42CA"/>
    <w:rsid w:val="35CF5E74"/>
    <w:rsid w:val="35D77CEC"/>
    <w:rsid w:val="35DC154A"/>
    <w:rsid w:val="36293B21"/>
    <w:rsid w:val="362D4A19"/>
    <w:rsid w:val="363F0E6E"/>
    <w:rsid w:val="367E0853"/>
    <w:rsid w:val="368B6F9F"/>
    <w:rsid w:val="368F480F"/>
    <w:rsid w:val="36A73E4F"/>
    <w:rsid w:val="36AC7FEA"/>
    <w:rsid w:val="36C1706E"/>
    <w:rsid w:val="36D53718"/>
    <w:rsid w:val="36D54C76"/>
    <w:rsid w:val="36D8521D"/>
    <w:rsid w:val="36D96C46"/>
    <w:rsid w:val="36E3362D"/>
    <w:rsid w:val="36E43FB2"/>
    <w:rsid w:val="36E83F1F"/>
    <w:rsid w:val="36EB2520"/>
    <w:rsid w:val="36F369CE"/>
    <w:rsid w:val="36F54FB9"/>
    <w:rsid w:val="36F836BA"/>
    <w:rsid w:val="37072D8A"/>
    <w:rsid w:val="3710594F"/>
    <w:rsid w:val="371A5B0B"/>
    <w:rsid w:val="37315653"/>
    <w:rsid w:val="37424172"/>
    <w:rsid w:val="37440F0A"/>
    <w:rsid w:val="374970B3"/>
    <w:rsid w:val="375A12C0"/>
    <w:rsid w:val="375F4E6C"/>
    <w:rsid w:val="378520A9"/>
    <w:rsid w:val="378B52D9"/>
    <w:rsid w:val="379753A2"/>
    <w:rsid w:val="37BB0E12"/>
    <w:rsid w:val="37C4498C"/>
    <w:rsid w:val="37C87FD8"/>
    <w:rsid w:val="37DF17C6"/>
    <w:rsid w:val="37E1109A"/>
    <w:rsid w:val="37E64C48"/>
    <w:rsid w:val="37E666B0"/>
    <w:rsid w:val="380A2CBD"/>
    <w:rsid w:val="381274A5"/>
    <w:rsid w:val="381A72E8"/>
    <w:rsid w:val="38211DB8"/>
    <w:rsid w:val="38213B8C"/>
    <w:rsid w:val="38303DCF"/>
    <w:rsid w:val="38341B11"/>
    <w:rsid w:val="38342E0E"/>
    <w:rsid w:val="3838582D"/>
    <w:rsid w:val="38400157"/>
    <w:rsid w:val="384004B6"/>
    <w:rsid w:val="384653A1"/>
    <w:rsid w:val="384B7C91"/>
    <w:rsid w:val="3857135C"/>
    <w:rsid w:val="385C69BF"/>
    <w:rsid w:val="385D20A6"/>
    <w:rsid w:val="385F3E95"/>
    <w:rsid w:val="386D50ED"/>
    <w:rsid w:val="387D2CA8"/>
    <w:rsid w:val="38946265"/>
    <w:rsid w:val="38A04AB1"/>
    <w:rsid w:val="38AC78FA"/>
    <w:rsid w:val="38E56968"/>
    <w:rsid w:val="38FD3E98"/>
    <w:rsid w:val="38FE4E2B"/>
    <w:rsid w:val="39035051"/>
    <w:rsid w:val="390E2362"/>
    <w:rsid w:val="390E5AFB"/>
    <w:rsid w:val="39377035"/>
    <w:rsid w:val="394A2D76"/>
    <w:rsid w:val="39552444"/>
    <w:rsid w:val="39695EAB"/>
    <w:rsid w:val="39744E1D"/>
    <w:rsid w:val="39763A64"/>
    <w:rsid w:val="39785A2E"/>
    <w:rsid w:val="397E5FE3"/>
    <w:rsid w:val="398B4D6E"/>
    <w:rsid w:val="39942EF1"/>
    <w:rsid w:val="39B673F0"/>
    <w:rsid w:val="39C2541D"/>
    <w:rsid w:val="39CA5321"/>
    <w:rsid w:val="39D35DED"/>
    <w:rsid w:val="39DA0497"/>
    <w:rsid w:val="39DB2560"/>
    <w:rsid w:val="39E364C5"/>
    <w:rsid w:val="39E552D2"/>
    <w:rsid w:val="3A017D3F"/>
    <w:rsid w:val="3A1032F0"/>
    <w:rsid w:val="3A1C285D"/>
    <w:rsid w:val="3A304F3B"/>
    <w:rsid w:val="3A3A33BD"/>
    <w:rsid w:val="3A3C2EFF"/>
    <w:rsid w:val="3A4B4718"/>
    <w:rsid w:val="3A4C3B85"/>
    <w:rsid w:val="3A4D6EBA"/>
    <w:rsid w:val="3A52764D"/>
    <w:rsid w:val="3A5A3AD3"/>
    <w:rsid w:val="3A5E69D2"/>
    <w:rsid w:val="3A7461F5"/>
    <w:rsid w:val="3A7C5EFB"/>
    <w:rsid w:val="3A7E7074"/>
    <w:rsid w:val="3AA06EC0"/>
    <w:rsid w:val="3AA375EA"/>
    <w:rsid w:val="3AAF547F"/>
    <w:rsid w:val="3ABA5BBD"/>
    <w:rsid w:val="3AC23D63"/>
    <w:rsid w:val="3ACE7226"/>
    <w:rsid w:val="3AE8504A"/>
    <w:rsid w:val="3AEE244B"/>
    <w:rsid w:val="3AF15E2D"/>
    <w:rsid w:val="3AF34982"/>
    <w:rsid w:val="3AFC4BC0"/>
    <w:rsid w:val="3B3047EC"/>
    <w:rsid w:val="3B337E5E"/>
    <w:rsid w:val="3B3A186D"/>
    <w:rsid w:val="3B3A743F"/>
    <w:rsid w:val="3B521789"/>
    <w:rsid w:val="3B590BAE"/>
    <w:rsid w:val="3B675D5A"/>
    <w:rsid w:val="3B6811E8"/>
    <w:rsid w:val="3B6A16C2"/>
    <w:rsid w:val="3B7102F5"/>
    <w:rsid w:val="3B714E2B"/>
    <w:rsid w:val="3B806E1C"/>
    <w:rsid w:val="3B926043"/>
    <w:rsid w:val="3B9455D3"/>
    <w:rsid w:val="3BAA122E"/>
    <w:rsid w:val="3BAA4BD7"/>
    <w:rsid w:val="3BAF44C8"/>
    <w:rsid w:val="3BBC42F8"/>
    <w:rsid w:val="3BBF453A"/>
    <w:rsid w:val="3BC1190E"/>
    <w:rsid w:val="3BD57167"/>
    <w:rsid w:val="3BF43B69"/>
    <w:rsid w:val="3C08177A"/>
    <w:rsid w:val="3C0E55F6"/>
    <w:rsid w:val="3C125CC6"/>
    <w:rsid w:val="3C204386"/>
    <w:rsid w:val="3C3C2D43"/>
    <w:rsid w:val="3C3F0ED3"/>
    <w:rsid w:val="3C410359"/>
    <w:rsid w:val="3C410DCA"/>
    <w:rsid w:val="3C572F8F"/>
    <w:rsid w:val="3C92284B"/>
    <w:rsid w:val="3CA514AE"/>
    <w:rsid w:val="3CAA4917"/>
    <w:rsid w:val="3CAD1E92"/>
    <w:rsid w:val="3CAD4946"/>
    <w:rsid w:val="3CCC056A"/>
    <w:rsid w:val="3CD016DD"/>
    <w:rsid w:val="3CD13DD3"/>
    <w:rsid w:val="3CDF60BC"/>
    <w:rsid w:val="3CEC2D41"/>
    <w:rsid w:val="3CEF24AB"/>
    <w:rsid w:val="3CF04229"/>
    <w:rsid w:val="3CF74404"/>
    <w:rsid w:val="3CFA5193"/>
    <w:rsid w:val="3D003EAE"/>
    <w:rsid w:val="3D0E0737"/>
    <w:rsid w:val="3D1E05B3"/>
    <w:rsid w:val="3D257C7B"/>
    <w:rsid w:val="3D324146"/>
    <w:rsid w:val="3D4A11B7"/>
    <w:rsid w:val="3D4E37F8"/>
    <w:rsid w:val="3D600CB3"/>
    <w:rsid w:val="3D6E6DE2"/>
    <w:rsid w:val="3D7F04B3"/>
    <w:rsid w:val="3D890EE7"/>
    <w:rsid w:val="3D8E5820"/>
    <w:rsid w:val="3D9F527F"/>
    <w:rsid w:val="3DB470BD"/>
    <w:rsid w:val="3DB565BB"/>
    <w:rsid w:val="3DBB0A8D"/>
    <w:rsid w:val="3DC079A3"/>
    <w:rsid w:val="3DD14D87"/>
    <w:rsid w:val="3DD3511F"/>
    <w:rsid w:val="3DDC089F"/>
    <w:rsid w:val="3DF53AF1"/>
    <w:rsid w:val="3DFA182A"/>
    <w:rsid w:val="3DFF04CC"/>
    <w:rsid w:val="3E1A70B4"/>
    <w:rsid w:val="3E2F136B"/>
    <w:rsid w:val="3E330175"/>
    <w:rsid w:val="3E417B09"/>
    <w:rsid w:val="3E42109B"/>
    <w:rsid w:val="3E4D7093"/>
    <w:rsid w:val="3E587BDC"/>
    <w:rsid w:val="3E5901E8"/>
    <w:rsid w:val="3E5E79C7"/>
    <w:rsid w:val="3E7022C7"/>
    <w:rsid w:val="3E9C5D1B"/>
    <w:rsid w:val="3EAF1EF2"/>
    <w:rsid w:val="3EB323EF"/>
    <w:rsid w:val="3EC10BF1"/>
    <w:rsid w:val="3EC314F9"/>
    <w:rsid w:val="3EC53E1D"/>
    <w:rsid w:val="3ED41958"/>
    <w:rsid w:val="3EEF5CBD"/>
    <w:rsid w:val="3EF00151"/>
    <w:rsid w:val="3EF5367D"/>
    <w:rsid w:val="3F022DC2"/>
    <w:rsid w:val="3F0538C0"/>
    <w:rsid w:val="3F0702B0"/>
    <w:rsid w:val="3F087854"/>
    <w:rsid w:val="3F110BCB"/>
    <w:rsid w:val="3F2B709E"/>
    <w:rsid w:val="3F395C5F"/>
    <w:rsid w:val="3F485EA2"/>
    <w:rsid w:val="3F584FE7"/>
    <w:rsid w:val="3F634A8A"/>
    <w:rsid w:val="3F8069B6"/>
    <w:rsid w:val="3F942E96"/>
    <w:rsid w:val="3F9711AC"/>
    <w:rsid w:val="3F9966FE"/>
    <w:rsid w:val="3FA529C0"/>
    <w:rsid w:val="3FAF4D09"/>
    <w:rsid w:val="3FB57CCA"/>
    <w:rsid w:val="3FBB2DA6"/>
    <w:rsid w:val="3FC905B8"/>
    <w:rsid w:val="3FCA3D98"/>
    <w:rsid w:val="3FD65289"/>
    <w:rsid w:val="3FD976DF"/>
    <w:rsid w:val="3FDA2F9E"/>
    <w:rsid w:val="40046D20"/>
    <w:rsid w:val="40097455"/>
    <w:rsid w:val="400A0FF2"/>
    <w:rsid w:val="401D01E4"/>
    <w:rsid w:val="40210BCD"/>
    <w:rsid w:val="40363F4D"/>
    <w:rsid w:val="404228F2"/>
    <w:rsid w:val="404E62A5"/>
    <w:rsid w:val="40526438"/>
    <w:rsid w:val="40683A51"/>
    <w:rsid w:val="406D39C3"/>
    <w:rsid w:val="406D5BC1"/>
    <w:rsid w:val="406F6982"/>
    <w:rsid w:val="407131D7"/>
    <w:rsid w:val="407A02DD"/>
    <w:rsid w:val="40806FD6"/>
    <w:rsid w:val="408F6F36"/>
    <w:rsid w:val="40AB5476"/>
    <w:rsid w:val="40B42395"/>
    <w:rsid w:val="40C43184"/>
    <w:rsid w:val="40C8503E"/>
    <w:rsid w:val="40DA3130"/>
    <w:rsid w:val="40EC3F1A"/>
    <w:rsid w:val="40EC5B32"/>
    <w:rsid w:val="40FB5855"/>
    <w:rsid w:val="40FD011C"/>
    <w:rsid w:val="41036525"/>
    <w:rsid w:val="410F160B"/>
    <w:rsid w:val="41105572"/>
    <w:rsid w:val="412070D7"/>
    <w:rsid w:val="412F717A"/>
    <w:rsid w:val="41384420"/>
    <w:rsid w:val="41393870"/>
    <w:rsid w:val="413B30A4"/>
    <w:rsid w:val="415671F2"/>
    <w:rsid w:val="415A53FE"/>
    <w:rsid w:val="416A63EB"/>
    <w:rsid w:val="417071AF"/>
    <w:rsid w:val="41812516"/>
    <w:rsid w:val="41984EBF"/>
    <w:rsid w:val="419B050B"/>
    <w:rsid w:val="41C34F37"/>
    <w:rsid w:val="41CC2DBB"/>
    <w:rsid w:val="41D37314"/>
    <w:rsid w:val="41D64495"/>
    <w:rsid w:val="41D76705"/>
    <w:rsid w:val="41DD6D76"/>
    <w:rsid w:val="41E2265E"/>
    <w:rsid w:val="41E86D95"/>
    <w:rsid w:val="41F52311"/>
    <w:rsid w:val="42066E1F"/>
    <w:rsid w:val="421264C2"/>
    <w:rsid w:val="42395AFD"/>
    <w:rsid w:val="423F57E3"/>
    <w:rsid w:val="4250579A"/>
    <w:rsid w:val="425A03C6"/>
    <w:rsid w:val="42750789"/>
    <w:rsid w:val="42802174"/>
    <w:rsid w:val="42860835"/>
    <w:rsid w:val="428D124B"/>
    <w:rsid w:val="42AB6E74"/>
    <w:rsid w:val="42CB56FB"/>
    <w:rsid w:val="42EB101F"/>
    <w:rsid w:val="42F11BFD"/>
    <w:rsid w:val="42F500EF"/>
    <w:rsid w:val="42FB3958"/>
    <w:rsid w:val="43013D8A"/>
    <w:rsid w:val="430B1DAB"/>
    <w:rsid w:val="431541DD"/>
    <w:rsid w:val="43333CE8"/>
    <w:rsid w:val="433578C1"/>
    <w:rsid w:val="433C7ACC"/>
    <w:rsid w:val="434C53D8"/>
    <w:rsid w:val="43733865"/>
    <w:rsid w:val="437657F7"/>
    <w:rsid w:val="437C611B"/>
    <w:rsid w:val="43831605"/>
    <w:rsid w:val="43A51B15"/>
    <w:rsid w:val="43AC751B"/>
    <w:rsid w:val="43B136C5"/>
    <w:rsid w:val="43C81360"/>
    <w:rsid w:val="43E43675"/>
    <w:rsid w:val="43EA3673"/>
    <w:rsid w:val="43FF1993"/>
    <w:rsid w:val="44000AFA"/>
    <w:rsid w:val="44002D34"/>
    <w:rsid w:val="4407632C"/>
    <w:rsid w:val="440B5E1C"/>
    <w:rsid w:val="440D52A8"/>
    <w:rsid w:val="44121C51"/>
    <w:rsid w:val="441427F7"/>
    <w:rsid w:val="44171F45"/>
    <w:rsid w:val="442A62FC"/>
    <w:rsid w:val="442D5B10"/>
    <w:rsid w:val="442F1037"/>
    <w:rsid w:val="443A3F53"/>
    <w:rsid w:val="443C3C76"/>
    <w:rsid w:val="44445926"/>
    <w:rsid w:val="44470840"/>
    <w:rsid w:val="444D6F3B"/>
    <w:rsid w:val="44527929"/>
    <w:rsid w:val="445D7216"/>
    <w:rsid w:val="446A2AAE"/>
    <w:rsid w:val="44764516"/>
    <w:rsid w:val="447A4D50"/>
    <w:rsid w:val="44841F92"/>
    <w:rsid w:val="448E7078"/>
    <w:rsid w:val="44926858"/>
    <w:rsid w:val="44A1408B"/>
    <w:rsid w:val="44A27E03"/>
    <w:rsid w:val="44C26EFC"/>
    <w:rsid w:val="44C42913"/>
    <w:rsid w:val="44CD64BA"/>
    <w:rsid w:val="44D53D34"/>
    <w:rsid w:val="44D633B0"/>
    <w:rsid w:val="44DE1833"/>
    <w:rsid w:val="44DF2E05"/>
    <w:rsid w:val="44E24C67"/>
    <w:rsid w:val="44E52D55"/>
    <w:rsid w:val="45096C08"/>
    <w:rsid w:val="45154A79"/>
    <w:rsid w:val="45280308"/>
    <w:rsid w:val="452D1DC2"/>
    <w:rsid w:val="453B44A5"/>
    <w:rsid w:val="453C667B"/>
    <w:rsid w:val="45482758"/>
    <w:rsid w:val="454D4212"/>
    <w:rsid w:val="45603F46"/>
    <w:rsid w:val="45751272"/>
    <w:rsid w:val="457F1EF2"/>
    <w:rsid w:val="45806396"/>
    <w:rsid w:val="458F65D9"/>
    <w:rsid w:val="459C6E90"/>
    <w:rsid w:val="45AC79EA"/>
    <w:rsid w:val="45AF6BD8"/>
    <w:rsid w:val="45B55766"/>
    <w:rsid w:val="45B8588A"/>
    <w:rsid w:val="45C049E4"/>
    <w:rsid w:val="45CD0AD4"/>
    <w:rsid w:val="45D81DE2"/>
    <w:rsid w:val="45DB181E"/>
    <w:rsid w:val="45DB19C0"/>
    <w:rsid w:val="45E45BAD"/>
    <w:rsid w:val="45E561F9"/>
    <w:rsid w:val="45E65E08"/>
    <w:rsid w:val="45EF0E26"/>
    <w:rsid w:val="45F4441B"/>
    <w:rsid w:val="460E39A2"/>
    <w:rsid w:val="46130905"/>
    <w:rsid w:val="46170C26"/>
    <w:rsid w:val="46192347"/>
    <w:rsid w:val="461945AC"/>
    <w:rsid w:val="462D256F"/>
    <w:rsid w:val="46364CA7"/>
    <w:rsid w:val="464A2450"/>
    <w:rsid w:val="465F723F"/>
    <w:rsid w:val="46603AD2"/>
    <w:rsid w:val="467A34E7"/>
    <w:rsid w:val="46946A73"/>
    <w:rsid w:val="469C7200"/>
    <w:rsid w:val="46A00372"/>
    <w:rsid w:val="46AB2F1F"/>
    <w:rsid w:val="46B31A74"/>
    <w:rsid w:val="46D27920"/>
    <w:rsid w:val="46DE0CEF"/>
    <w:rsid w:val="46DE4D79"/>
    <w:rsid w:val="46DE7ED1"/>
    <w:rsid w:val="46E131BE"/>
    <w:rsid w:val="47040901"/>
    <w:rsid w:val="47085279"/>
    <w:rsid w:val="47146CF3"/>
    <w:rsid w:val="471D7FB8"/>
    <w:rsid w:val="4729360D"/>
    <w:rsid w:val="47350ECD"/>
    <w:rsid w:val="474157FF"/>
    <w:rsid w:val="474D5B58"/>
    <w:rsid w:val="47544B78"/>
    <w:rsid w:val="47574C62"/>
    <w:rsid w:val="4767532D"/>
    <w:rsid w:val="4769074D"/>
    <w:rsid w:val="47871D97"/>
    <w:rsid w:val="478A34FC"/>
    <w:rsid w:val="478B512E"/>
    <w:rsid w:val="479854BC"/>
    <w:rsid w:val="47CF72AD"/>
    <w:rsid w:val="47D80BA2"/>
    <w:rsid w:val="47DE47BC"/>
    <w:rsid w:val="47E007C7"/>
    <w:rsid w:val="480D1260"/>
    <w:rsid w:val="480E23EA"/>
    <w:rsid w:val="48114597"/>
    <w:rsid w:val="48183D4F"/>
    <w:rsid w:val="48194880"/>
    <w:rsid w:val="48311172"/>
    <w:rsid w:val="48403220"/>
    <w:rsid w:val="484D4BC4"/>
    <w:rsid w:val="484F5CF8"/>
    <w:rsid w:val="4865056C"/>
    <w:rsid w:val="48735B79"/>
    <w:rsid w:val="487D4E0F"/>
    <w:rsid w:val="487F3587"/>
    <w:rsid w:val="48984C97"/>
    <w:rsid w:val="489A439E"/>
    <w:rsid w:val="48AB197C"/>
    <w:rsid w:val="48B031BB"/>
    <w:rsid w:val="48B31A13"/>
    <w:rsid w:val="48BF0F83"/>
    <w:rsid w:val="48C661A0"/>
    <w:rsid w:val="48CB20B8"/>
    <w:rsid w:val="48D47E47"/>
    <w:rsid w:val="48D72771"/>
    <w:rsid w:val="48E25F7F"/>
    <w:rsid w:val="48E44E8E"/>
    <w:rsid w:val="48EE4A29"/>
    <w:rsid w:val="48F5210B"/>
    <w:rsid w:val="490B11C9"/>
    <w:rsid w:val="490C480D"/>
    <w:rsid w:val="4926119A"/>
    <w:rsid w:val="492E2C7C"/>
    <w:rsid w:val="492F4473"/>
    <w:rsid w:val="495E4076"/>
    <w:rsid w:val="49630A55"/>
    <w:rsid w:val="497A30FC"/>
    <w:rsid w:val="497D5957"/>
    <w:rsid w:val="498875C7"/>
    <w:rsid w:val="49A75578"/>
    <w:rsid w:val="49A8790E"/>
    <w:rsid w:val="49C66341"/>
    <w:rsid w:val="49D560C0"/>
    <w:rsid w:val="49D7699E"/>
    <w:rsid w:val="49D82FAF"/>
    <w:rsid w:val="49EA4BC8"/>
    <w:rsid w:val="49ED4F2D"/>
    <w:rsid w:val="49FF7EF9"/>
    <w:rsid w:val="4A086E2D"/>
    <w:rsid w:val="4A1022B2"/>
    <w:rsid w:val="4A1D136F"/>
    <w:rsid w:val="4A325785"/>
    <w:rsid w:val="4A5E657A"/>
    <w:rsid w:val="4A6C423D"/>
    <w:rsid w:val="4A70361C"/>
    <w:rsid w:val="4A704B0B"/>
    <w:rsid w:val="4A7A4BEA"/>
    <w:rsid w:val="4A991E77"/>
    <w:rsid w:val="4AAF1F1E"/>
    <w:rsid w:val="4AB32D6A"/>
    <w:rsid w:val="4AD827D0"/>
    <w:rsid w:val="4AED0D10"/>
    <w:rsid w:val="4B060ABB"/>
    <w:rsid w:val="4B144DCA"/>
    <w:rsid w:val="4B17589E"/>
    <w:rsid w:val="4B262F7C"/>
    <w:rsid w:val="4B352C24"/>
    <w:rsid w:val="4B353971"/>
    <w:rsid w:val="4B3564B7"/>
    <w:rsid w:val="4B3F2CD0"/>
    <w:rsid w:val="4B480D7C"/>
    <w:rsid w:val="4B561FC3"/>
    <w:rsid w:val="4B5C1E30"/>
    <w:rsid w:val="4B5F70FB"/>
    <w:rsid w:val="4B67093E"/>
    <w:rsid w:val="4B763F7C"/>
    <w:rsid w:val="4B8B76BC"/>
    <w:rsid w:val="4B8B780F"/>
    <w:rsid w:val="4B8E2E8F"/>
    <w:rsid w:val="4BB05EE9"/>
    <w:rsid w:val="4BB9615E"/>
    <w:rsid w:val="4BB96EE7"/>
    <w:rsid w:val="4BC7058A"/>
    <w:rsid w:val="4BCD7B64"/>
    <w:rsid w:val="4BD0035D"/>
    <w:rsid w:val="4BD9235C"/>
    <w:rsid w:val="4BDC5F5A"/>
    <w:rsid w:val="4BEA4569"/>
    <w:rsid w:val="4BEC0390"/>
    <w:rsid w:val="4BF278C2"/>
    <w:rsid w:val="4C1A34BB"/>
    <w:rsid w:val="4C231829"/>
    <w:rsid w:val="4C3351E5"/>
    <w:rsid w:val="4C60274C"/>
    <w:rsid w:val="4C673A98"/>
    <w:rsid w:val="4C7A59F3"/>
    <w:rsid w:val="4C7C7F92"/>
    <w:rsid w:val="4C820C46"/>
    <w:rsid w:val="4C8853A9"/>
    <w:rsid w:val="4C9A5F2E"/>
    <w:rsid w:val="4C9C6C8B"/>
    <w:rsid w:val="4C9E03FE"/>
    <w:rsid w:val="4CAF7079"/>
    <w:rsid w:val="4CB6294A"/>
    <w:rsid w:val="4CC2732C"/>
    <w:rsid w:val="4CCD078A"/>
    <w:rsid w:val="4CEE62DB"/>
    <w:rsid w:val="4D2770F7"/>
    <w:rsid w:val="4D30504F"/>
    <w:rsid w:val="4D3613A8"/>
    <w:rsid w:val="4D39639D"/>
    <w:rsid w:val="4D3A507C"/>
    <w:rsid w:val="4D424EC4"/>
    <w:rsid w:val="4D510618"/>
    <w:rsid w:val="4D551EB6"/>
    <w:rsid w:val="4D57646E"/>
    <w:rsid w:val="4D65092C"/>
    <w:rsid w:val="4D673998"/>
    <w:rsid w:val="4D754306"/>
    <w:rsid w:val="4D7D4514"/>
    <w:rsid w:val="4D825A70"/>
    <w:rsid w:val="4D8C4B13"/>
    <w:rsid w:val="4D992E31"/>
    <w:rsid w:val="4D9D560B"/>
    <w:rsid w:val="4DA71DB9"/>
    <w:rsid w:val="4DBE4A08"/>
    <w:rsid w:val="4DC51B07"/>
    <w:rsid w:val="4DCE5382"/>
    <w:rsid w:val="4DD04258"/>
    <w:rsid w:val="4DD7305B"/>
    <w:rsid w:val="4DDF350D"/>
    <w:rsid w:val="4DE54BBF"/>
    <w:rsid w:val="4DE959AE"/>
    <w:rsid w:val="4DF07E31"/>
    <w:rsid w:val="4E065CB6"/>
    <w:rsid w:val="4E0F143D"/>
    <w:rsid w:val="4E130448"/>
    <w:rsid w:val="4E21623C"/>
    <w:rsid w:val="4E3E3CD2"/>
    <w:rsid w:val="4E48180D"/>
    <w:rsid w:val="4E4B3EEE"/>
    <w:rsid w:val="4E517291"/>
    <w:rsid w:val="4E5D64B4"/>
    <w:rsid w:val="4E646CEB"/>
    <w:rsid w:val="4E7279FB"/>
    <w:rsid w:val="4E792A0E"/>
    <w:rsid w:val="4E8A5B90"/>
    <w:rsid w:val="4E9220BE"/>
    <w:rsid w:val="4EA33BAD"/>
    <w:rsid w:val="4EA6768A"/>
    <w:rsid w:val="4EB42C0C"/>
    <w:rsid w:val="4EB91AB7"/>
    <w:rsid w:val="4EB946C7"/>
    <w:rsid w:val="4EBC5236"/>
    <w:rsid w:val="4ECF7B90"/>
    <w:rsid w:val="4ED41249"/>
    <w:rsid w:val="4EE334F2"/>
    <w:rsid w:val="4EED32ED"/>
    <w:rsid w:val="4EF0595D"/>
    <w:rsid w:val="4EF35D8A"/>
    <w:rsid w:val="4EF61477"/>
    <w:rsid w:val="4F0E67C1"/>
    <w:rsid w:val="4F2204BE"/>
    <w:rsid w:val="4F2C520F"/>
    <w:rsid w:val="4F2D389C"/>
    <w:rsid w:val="4F387B83"/>
    <w:rsid w:val="4F440434"/>
    <w:rsid w:val="4F454DB4"/>
    <w:rsid w:val="4F5A7C58"/>
    <w:rsid w:val="4F7D1D9E"/>
    <w:rsid w:val="4F9438A2"/>
    <w:rsid w:val="4F984D9D"/>
    <w:rsid w:val="4F9A5E18"/>
    <w:rsid w:val="4FA672CB"/>
    <w:rsid w:val="4FAA2EC2"/>
    <w:rsid w:val="4FB03267"/>
    <w:rsid w:val="4FBB3B04"/>
    <w:rsid w:val="4FBD2B04"/>
    <w:rsid w:val="4FC2024F"/>
    <w:rsid w:val="4FDC68BF"/>
    <w:rsid w:val="4FF21C3E"/>
    <w:rsid w:val="4FF82FCD"/>
    <w:rsid w:val="4FFA6D45"/>
    <w:rsid w:val="500608F5"/>
    <w:rsid w:val="500876B4"/>
    <w:rsid w:val="50113C4E"/>
    <w:rsid w:val="50245098"/>
    <w:rsid w:val="502E69EF"/>
    <w:rsid w:val="50447FC0"/>
    <w:rsid w:val="5057296A"/>
    <w:rsid w:val="50727454"/>
    <w:rsid w:val="50842312"/>
    <w:rsid w:val="5091327C"/>
    <w:rsid w:val="509C7395"/>
    <w:rsid w:val="50A218B6"/>
    <w:rsid w:val="50A267FE"/>
    <w:rsid w:val="50AB7581"/>
    <w:rsid w:val="50C51CA5"/>
    <w:rsid w:val="50D4115C"/>
    <w:rsid w:val="50D8625D"/>
    <w:rsid w:val="50DF4FF7"/>
    <w:rsid w:val="50E81293"/>
    <w:rsid w:val="50F90C4E"/>
    <w:rsid w:val="50FE0AB7"/>
    <w:rsid w:val="510A745C"/>
    <w:rsid w:val="510C6D30"/>
    <w:rsid w:val="510F29BA"/>
    <w:rsid w:val="510F3CA1"/>
    <w:rsid w:val="51171B33"/>
    <w:rsid w:val="511E63A2"/>
    <w:rsid w:val="512336DC"/>
    <w:rsid w:val="512F0C70"/>
    <w:rsid w:val="51493AE0"/>
    <w:rsid w:val="514B5B26"/>
    <w:rsid w:val="515801C7"/>
    <w:rsid w:val="515F2150"/>
    <w:rsid w:val="51767101"/>
    <w:rsid w:val="517A6A24"/>
    <w:rsid w:val="517D19DC"/>
    <w:rsid w:val="5180012B"/>
    <w:rsid w:val="51874A95"/>
    <w:rsid w:val="518A40F8"/>
    <w:rsid w:val="518A5EA7"/>
    <w:rsid w:val="518B234A"/>
    <w:rsid w:val="51AA7FF2"/>
    <w:rsid w:val="51CB4F3A"/>
    <w:rsid w:val="51D21B93"/>
    <w:rsid w:val="51D87804"/>
    <w:rsid w:val="51DA3B8C"/>
    <w:rsid w:val="52012EB5"/>
    <w:rsid w:val="52036CC7"/>
    <w:rsid w:val="520E6AD8"/>
    <w:rsid w:val="52151C14"/>
    <w:rsid w:val="5222392E"/>
    <w:rsid w:val="52262073"/>
    <w:rsid w:val="523A5B1F"/>
    <w:rsid w:val="524C35D6"/>
    <w:rsid w:val="525F651B"/>
    <w:rsid w:val="52634BCC"/>
    <w:rsid w:val="526D7199"/>
    <w:rsid w:val="526F22BB"/>
    <w:rsid w:val="52775F67"/>
    <w:rsid w:val="52851792"/>
    <w:rsid w:val="528943B0"/>
    <w:rsid w:val="52946FDD"/>
    <w:rsid w:val="52DF3B64"/>
    <w:rsid w:val="52E964FA"/>
    <w:rsid w:val="52E96FE9"/>
    <w:rsid w:val="52EF7913"/>
    <w:rsid w:val="52F24E8F"/>
    <w:rsid w:val="52F45CCD"/>
    <w:rsid w:val="53024770"/>
    <w:rsid w:val="531617D1"/>
    <w:rsid w:val="53204D14"/>
    <w:rsid w:val="533D1775"/>
    <w:rsid w:val="533D58C6"/>
    <w:rsid w:val="535C0BED"/>
    <w:rsid w:val="537810E8"/>
    <w:rsid w:val="537E41A0"/>
    <w:rsid w:val="53911FD3"/>
    <w:rsid w:val="53B7454B"/>
    <w:rsid w:val="53BB4A3D"/>
    <w:rsid w:val="53BF27D4"/>
    <w:rsid w:val="53C01210"/>
    <w:rsid w:val="53C75190"/>
    <w:rsid w:val="53D0531B"/>
    <w:rsid w:val="53D14543"/>
    <w:rsid w:val="53DB6E8D"/>
    <w:rsid w:val="53E11450"/>
    <w:rsid w:val="53EE6BC1"/>
    <w:rsid w:val="53F43F3C"/>
    <w:rsid w:val="54077F64"/>
    <w:rsid w:val="5410165C"/>
    <w:rsid w:val="54130315"/>
    <w:rsid w:val="54240F4F"/>
    <w:rsid w:val="54260108"/>
    <w:rsid w:val="542645AC"/>
    <w:rsid w:val="542D76E9"/>
    <w:rsid w:val="5449465D"/>
    <w:rsid w:val="544B176B"/>
    <w:rsid w:val="544B5DC1"/>
    <w:rsid w:val="545742B4"/>
    <w:rsid w:val="545A4256"/>
    <w:rsid w:val="546B6790"/>
    <w:rsid w:val="546F53C5"/>
    <w:rsid w:val="547365D3"/>
    <w:rsid w:val="548347E4"/>
    <w:rsid w:val="548968E9"/>
    <w:rsid w:val="54995208"/>
    <w:rsid w:val="549E4143"/>
    <w:rsid w:val="54C47921"/>
    <w:rsid w:val="54CC23EE"/>
    <w:rsid w:val="54CC5D51"/>
    <w:rsid w:val="54DD5E38"/>
    <w:rsid w:val="55040452"/>
    <w:rsid w:val="550F1D82"/>
    <w:rsid w:val="551B5793"/>
    <w:rsid w:val="55256612"/>
    <w:rsid w:val="55312A99"/>
    <w:rsid w:val="553C49CA"/>
    <w:rsid w:val="553F0FF7"/>
    <w:rsid w:val="554051FA"/>
    <w:rsid w:val="554D6752"/>
    <w:rsid w:val="555A5F3E"/>
    <w:rsid w:val="55717AA9"/>
    <w:rsid w:val="558A0B6B"/>
    <w:rsid w:val="55952B44"/>
    <w:rsid w:val="55974945"/>
    <w:rsid w:val="55A674A9"/>
    <w:rsid w:val="55B160F8"/>
    <w:rsid w:val="55BA4D95"/>
    <w:rsid w:val="55CE6CAA"/>
    <w:rsid w:val="55EA10CA"/>
    <w:rsid w:val="55EC088C"/>
    <w:rsid w:val="55F94CAD"/>
    <w:rsid w:val="5601415E"/>
    <w:rsid w:val="56062295"/>
    <w:rsid w:val="56073316"/>
    <w:rsid w:val="56252E0A"/>
    <w:rsid w:val="56256E96"/>
    <w:rsid w:val="56353ACA"/>
    <w:rsid w:val="563D3E2F"/>
    <w:rsid w:val="56466840"/>
    <w:rsid w:val="565A22EB"/>
    <w:rsid w:val="566226DD"/>
    <w:rsid w:val="56813763"/>
    <w:rsid w:val="56847368"/>
    <w:rsid w:val="56867584"/>
    <w:rsid w:val="568B3D3E"/>
    <w:rsid w:val="569021B1"/>
    <w:rsid w:val="569F23F4"/>
    <w:rsid w:val="56B45E9F"/>
    <w:rsid w:val="56B84752"/>
    <w:rsid w:val="56B91708"/>
    <w:rsid w:val="56C07766"/>
    <w:rsid w:val="56C836F9"/>
    <w:rsid w:val="56CF2116"/>
    <w:rsid w:val="56D6425A"/>
    <w:rsid w:val="56E827C0"/>
    <w:rsid w:val="56FD132F"/>
    <w:rsid w:val="57064221"/>
    <w:rsid w:val="570B1838"/>
    <w:rsid w:val="57144B90"/>
    <w:rsid w:val="57146C2E"/>
    <w:rsid w:val="572F25CD"/>
    <w:rsid w:val="57354E4E"/>
    <w:rsid w:val="57393705"/>
    <w:rsid w:val="57430FD1"/>
    <w:rsid w:val="57452F9B"/>
    <w:rsid w:val="575C550F"/>
    <w:rsid w:val="57714012"/>
    <w:rsid w:val="57744C6A"/>
    <w:rsid w:val="5775287D"/>
    <w:rsid w:val="578B3481"/>
    <w:rsid w:val="57992DA8"/>
    <w:rsid w:val="57A44D61"/>
    <w:rsid w:val="57AB6871"/>
    <w:rsid w:val="57B955C1"/>
    <w:rsid w:val="57C7585F"/>
    <w:rsid w:val="57C93976"/>
    <w:rsid w:val="57CF0F2F"/>
    <w:rsid w:val="57E15B41"/>
    <w:rsid w:val="57EB62AA"/>
    <w:rsid w:val="581F0881"/>
    <w:rsid w:val="581F25C1"/>
    <w:rsid w:val="582738C9"/>
    <w:rsid w:val="5829466B"/>
    <w:rsid w:val="582A3F3F"/>
    <w:rsid w:val="582F6B6A"/>
    <w:rsid w:val="58385DFF"/>
    <w:rsid w:val="583E4D83"/>
    <w:rsid w:val="58450A20"/>
    <w:rsid w:val="584E26C1"/>
    <w:rsid w:val="584E365D"/>
    <w:rsid w:val="58515970"/>
    <w:rsid w:val="585A296B"/>
    <w:rsid w:val="585F1E3B"/>
    <w:rsid w:val="58816B89"/>
    <w:rsid w:val="588C78E6"/>
    <w:rsid w:val="5898534D"/>
    <w:rsid w:val="58A67A6A"/>
    <w:rsid w:val="58A96F9A"/>
    <w:rsid w:val="58B2640F"/>
    <w:rsid w:val="58BF0BBB"/>
    <w:rsid w:val="58C72BED"/>
    <w:rsid w:val="58CF4866"/>
    <w:rsid w:val="58FA6008"/>
    <w:rsid w:val="590C4208"/>
    <w:rsid w:val="590F5946"/>
    <w:rsid w:val="5915450F"/>
    <w:rsid w:val="592D3CE7"/>
    <w:rsid w:val="59406843"/>
    <w:rsid w:val="594352B9"/>
    <w:rsid w:val="59463ACC"/>
    <w:rsid w:val="594A6647"/>
    <w:rsid w:val="596040BD"/>
    <w:rsid w:val="59725B9E"/>
    <w:rsid w:val="5976638B"/>
    <w:rsid w:val="597B2D6C"/>
    <w:rsid w:val="597F377D"/>
    <w:rsid w:val="598E33BD"/>
    <w:rsid w:val="59955CFC"/>
    <w:rsid w:val="59A95D02"/>
    <w:rsid w:val="59AA17DC"/>
    <w:rsid w:val="59BA0405"/>
    <w:rsid w:val="59C07DE9"/>
    <w:rsid w:val="59C12681"/>
    <w:rsid w:val="59CC6C22"/>
    <w:rsid w:val="59DD74BB"/>
    <w:rsid w:val="59DE3233"/>
    <w:rsid w:val="59FB5B93"/>
    <w:rsid w:val="5A0B0F5A"/>
    <w:rsid w:val="5A1231CF"/>
    <w:rsid w:val="5A1C127F"/>
    <w:rsid w:val="5A350587"/>
    <w:rsid w:val="5A3B2434"/>
    <w:rsid w:val="5A476EF3"/>
    <w:rsid w:val="5A4B606B"/>
    <w:rsid w:val="5A571333"/>
    <w:rsid w:val="5A67249B"/>
    <w:rsid w:val="5A7C1BE0"/>
    <w:rsid w:val="5A84202D"/>
    <w:rsid w:val="5A8F6E06"/>
    <w:rsid w:val="5A9C303E"/>
    <w:rsid w:val="5AAB45FC"/>
    <w:rsid w:val="5AAF422B"/>
    <w:rsid w:val="5AB83A84"/>
    <w:rsid w:val="5AB924EC"/>
    <w:rsid w:val="5AC0206F"/>
    <w:rsid w:val="5AD373B0"/>
    <w:rsid w:val="5AE12FDB"/>
    <w:rsid w:val="5AED5416"/>
    <w:rsid w:val="5AF16F42"/>
    <w:rsid w:val="5AFC7E15"/>
    <w:rsid w:val="5B0B68ED"/>
    <w:rsid w:val="5B1741E7"/>
    <w:rsid w:val="5B1A2462"/>
    <w:rsid w:val="5B242EC8"/>
    <w:rsid w:val="5B2C3611"/>
    <w:rsid w:val="5B5E462C"/>
    <w:rsid w:val="5B657861"/>
    <w:rsid w:val="5B687A4C"/>
    <w:rsid w:val="5B6F4A8B"/>
    <w:rsid w:val="5B757E56"/>
    <w:rsid w:val="5B76182C"/>
    <w:rsid w:val="5B7B5AF5"/>
    <w:rsid w:val="5B7C5158"/>
    <w:rsid w:val="5BB93F58"/>
    <w:rsid w:val="5BE34B31"/>
    <w:rsid w:val="5BE92E97"/>
    <w:rsid w:val="5BF62AB6"/>
    <w:rsid w:val="5BF935B1"/>
    <w:rsid w:val="5C016FA1"/>
    <w:rsid w:val="5C024CE7"/>
    <w:rsid w:val="5C025CC8"/>
    <w:rsid w:val="5C0D30BE"/>
    <w:rsid w:val="5C18535A"/>
    <w:rsid w:val="5C245FF8"/>
    <w:rsid w:val="5C35496B"/>
    <w:rsid w:val="5C3E1CE6"/>
    <w:rsid w:val="5C4977E4"/>
    <w:rsid w:val="5C593045"/>
    <w:rsid w:val="5C732359"/>
    <w:rsid w:val="5C797243"/>
    <w:rsid w:val="5C7A4098"/>
    <w:rsid w:val="5C802540"/>
    <w:rsid w:val="5C853C6B"/>
    <w:rsid w:val="5C8E2CEF"/>
    <w:rsid w:val="5C910A31"/>
    <w:rsid w:val="5C9E3990"/>
    <w:rsid w:val="5CA404D2"/>
    <w:rsid w:val="5CA42512"/>
    <w:rsid w:val="5CA47A1D"/>
    <w:rsid w:val="5CC22998"/>
    <w:rsid w:val="5CC44FDE"/>
    <w:rsid w:val="5CCA4973"/>
    <w:rsid w:val="5CCD61CB"/>
    <w:rsid w:val="5CDD3C76"/>
    <w:rsid w:val="5CDE1C6D"/>
    <w:rsid w:val="5CFD7BE4"/>
    <w:rsid w:val="5D107BA8"/>
    <w:rsid w:val="5D121144"/>
    <w:rsid w:val="5D197442"/>
    <w:rsid w:val="5D31157A"/>
    <w:rsid w:val="5D3A4C25"/>
    <w:rsid w:val="5D6610B7"/>
    <w:rsid w:val="5D6A375C"/>
    <w:rsid w:val="5D6B3030"/>
    <w:rsid w:val="5D72077F"/>
    <w:rsid w:val="5D7D2976"/>
    <w:rsid w:val="5D8052CB"/>
    <w:rsid w:val="5D875D49"/>
    <w:rsid w:val="5D8E4EEB"/>
    <w:rsid w:val="5D8E61E0"/>
    <w:rsid w:val="5D90231F"/>
    <w:rsid w:val="5D9E3405"/>
    <w:rsid w:val="5DA57F34"/>
    <w:rsid w:val="5DAB5B22"/>
    <w:rsid w:val="5DB72F61"/>
    <w:rsid w:val="5DB80B20"/>
    <w:rsid w:val="5DBC51BA"/>
    <w:rsid w:val="5DBF7101"/>
    <w:rsid w:val="5DC319FC"/>
    <w:rsid w:val="5DCF673B"/>
    <w:rsid w:val="5E0A0A9B"/>
    <w:rsid w:val="5E1544D2"/>
    <w:rsid w:val="5E180F9D"/>
    <w:rsid w:val="5E40270F"/>
    <w:rsid w:val="5E491E05"/>
    <w:rsid w:val="5E575EE0"/>
    <w:rsid w:val="5E5E72D2"/>
    <w:rsid w:val="5E65484B"/>
    <w:rsid w:val="5E667B37"/>
    <w:rsid w:val="5E6737F7"/>
    <w:rsid w:val="5E790C7D"/>
    <w:rsid w:val="5E820631"/>
    <w:rsid w:val="5E8F5927"/>
    <w:rsid w:val="5E9879FB"/>
    <w:rsid w:val="5E9A01A9"/>
    <w:rsid w:val="5EA849EC"/>
    <w:rsid w:val="5EAC0136"/>
    <w:rsid w:val="5EBF3BC9"/>
    <w:rsid w:val="5ECF1B12"/>
    <w:rsid w:val="5ED6273B"/>
    <w:rsid w:val="5EE04FB0"/>
    <w:rsid w:val="5EEF42C5"/>
    <w:rsid w:val="5EF05EE3"/>
    <w:rsid w:val="5EFD2ABF"/>
    <w:rsid w:val="5F077BC9"/>
    <w:rsid w:val="5F1B0630"/>
    <w:rsid w:val="5F226491"/>
    <w:rsid w:val="5F24793A"/>
    <w:rsid w:val="5F404592"/>
    <w:rsid w:val="5F463D55"/>
    <w:rsid w:val="5F54776A"/>
    <w:rsid w:val="5F573537"/>
    <w:rsid w:val="5F5A335C"/>
    <w:rsid w:val="5F6146EB"/>
    <w:rsid w:val="5F683CCB"/>
    <w:rsid w:val="5F6B2DBA"/>
    <w:rsid w:val="5F8607BF"/>
    <w:rsid w:val="5F882555"/>
    <w:rsid w:val="5F8E0A5E"/>
    <w:rsid w:val="5FB45A42"/>
    <w:rsid w:val="5FB567E4"/>
    <w:rsid w:val="5FC63969"/>
    <w:rsid w:val="5FD17AC2"/>
    <w:rsid w:val="5FE44ACC"/>
    <w:rsid w:val="5FE76281"/>
    <w:rsid w:val="5FEF619A"/>
    <w:rsid w:val="5FF80D16"/>
    <w:rsid w:val="5FFC156D"/>
    <w:rsid w:val="60065292"/>
    <w:rsid w:val="60120211"/>
    <w:rsid w:val="601243E7"/>
    <w:rsid w:val="601C1AEB"/>
    <w:rsid w:val="60356509"/>
    <w:rsid w:val="603B13E0"/>
    <w:rsid w:val="603C75C9"/>
    <w:rsid w:val="603D50C6"/>
    <w:rsid w:val="60430294"/>
    <w:rsid w:val="604B2431"/>
    <w:rsid w:val="60574D83"/>
    <w:rsid w:val="60580398"/>
    <w:rsid w:val="60600615"/>
    <w:rsid w:val="606F1089"/>
    <w:rsid w:val="607B7A2E"/>
    <w:rsid w:val="6089214B"/>
    <w:rsid w:val="608E2926"/>
    <w:rsid w:val="609076F3"/>
    <w:rsid w:val="60943F53"/>
    <w:rsid w:val="60980A56"/>
    <w:rsid w:val="60A27AC6"/>
    <w:rsid w:val="60A81652"/>
    <w:rsid w:val="60AB5555"/>
    <w:rsid w:val="60AE7E03"/>
    <w:rsid w:val="60B30F76"/>
    <w:rsid w:val="60B52B80"/>
    <w:rsid w:val="60C969EB"/>
    <w:rsid w:val="60EB4FE3"/>
    <w:rsid w:val="61032132"/>
    <w:rsid w:val="61177932"/>
    <w:rsid w:val="611C2857"/>
    <w:rsid w:val="612973E3"/>
    <w:rsid w:val="614E0C9F"/>
    <w:rsid w:val="61505F6B"/>
    <w:rsid w:val="615502BF"/>
    <w:rsid w:val="61555FDC"/>
    <w:rsid w:val="61630BEE"/>
    <w:rsid w:val="6170330B"/>
    <w:rsid w:val="617A0673"/>
    <w:rsid w:val="618609A8"/>
    <w:rsid w:val="618A1AAA"/>
    <w:rsid w:val="618F7466"/>
    <w:rsid w:val="61932B55"/>
    <w:rsid w:val="61972712"/>
    <w:rsid w:val="619E55C7"/>
    <w:rsid w:val="61B01959"/>
    <w:rsid w:val="61B07C17"/>
    <w:rsid w:val="61BA08CF"/>
    <w:rsid w:val="61BB4F75"/>
    <w:rsid w:val="61D6619D"/>
    <w:rsid w:val="61D67A41"/>
    <w:rsid w:val="61D95558"/>
    <w:rsid w:val="61E34380"/>
    <w:rsid w:val="61EF2482"/>
    <w:rsid w:val="61F07FA8"/>
    <w:rsid w:val="61F256FC"/>
    <w:rsid w:val="61F97BB3"/>
    <w:rsid w:val="62265778"/>
    <w:rsid w:val="62277AE3"/>
    <w:rsid w:val="6236437C"/>
    <w:rsid w:val="623C268B"/>
    <w:rsid w:val="623E7711"/>
    <w:rsid w:val="624B728B"/>
    <w:rsid w:val="626764BC"/>
    <w:rsid w:val="626B0816"/>
    <w:rsid w:val="626C1040"/>
    <w:rsid w:val="62744735"/>
    <w:rsid w:val="62763A81"/>
    <w:rsid w:val="627D66DB"/>
    <w:rsid w:val="62853C31"/>
    <w:rsid w:val="628F0563"/>
    <w:rsid w:val="62A10326"/>
    <w:rsid w:val="62A5272A"/>
    <w:rsid w:val="62CE02E9"/>
    <w:rsid w:val="62CF1E79"/>
    <w:rsid w:val="62CF4061"/>
    <w:rsid w:val="62DA38B6"/>
    <w:rsid w:val="62DD677E"/>
    <w:rsid w:val="62E20967"/>
    <w:rsid w:val="62EF64B1"/>
    <w:rsid w:val="62F111DB"/>
    <w:rsid w:val="62F9289D"/>
    <w:rsid w:val="62FE409E"/>
    <w:rsid w:val="630F2045"/>
    <w:rsid w:val="63155F18"/>
    <w:rsid w:val="63181A9A"/>
    <w:rsid w:val="631865E0"/>
    <w:rsid w:val="631A352E"/>
    <w:rsid w:val="632F68AE"/>
    <w:rsid w:val="63541A45"/>
    <w:rsid w:val="635D77C8"/>
    <w:rsid w:val="63681CE4"/>
    <w:rsid w:val="636A6BD5"/>
    <w:rsid w:val="6374427C"/>
    <w:rsid w:val="637D503B"/>
    <w:rsid w:val="63807521"/>
    <w:rsid w:val="63827325"/>
    <w:rsid w:val="63896933"/>
    <w:rsid w:val="638E34F8"/>
    <w:rsid w:val="638F71D4"/>
    <w:rsid w:val="63A16619"/>
    <w:rsid w:val="63A54F9A"/>
    <w:rsid w:val="63CC72D2"/>
    <w:rsid w:val="63D1522A"/>
    <w:rsid w:val="63D731CD"/>
    <w:rsid w:val="63DF2082"/>
    <w:rsid w:val="63E44E96"/>
    <w:rsid w:val="63E53698"/>
    <w:rsid w:val="63ED29F1"/>
    <w:rsid w:val="63FB7A19"/>
    <w:rsid w:val="64022079"/>
    <w:rsid w:val="64081C13"/>
    <w:rsid w:val="64085A7D"/>
    <w:rsid w:val="640874E4"/>
    <w:rsid w:val="640A35A3"/>
    <w:rsid w:val="64181EB6"/>
    <w:rsid w:val="642262A3"/>
    <w:rsid w:val="642345CA"/>
    <w:rsid w:val="642E0042"/>
    <w:rsid w:val="643B6391"/>
    <w:rsid w:val="644D1F8D"/>
    <w:rsid w:val="6460189D"/>
    <w:rsid w:val="64682077"/>
    <w:rsid w:val="647670BC"/>
    <w:rsid w:val="64814A8D"/>
    <w:rsid w:val="648F3844"/>
    <w:rsid w:val="64AD1726"/>
    <w:rsid w:val="64B715AC"/>
    <w:rsid w:val="64DA0E25"/>
    <w:rsid w:val="64F642EB"/>
    <w:rsid w:val="64FF0C2E"/>
    <w:rsid w:val="650224CC"/>
    <w:rsid w:val="65030606"/>
    <w:rsid w:val="65046244"/>
    <w:rsid w:val="65054FB1"/>
    <w:rsid w:val="650C3BBA"/>
    <w:rsid w:val="65151809"/>
    <w:rsid w:val="65165F77"/>
    <w:rsid w:val="65187C0D"/>
    <w:rsid w:val="65225578"/>
    <w:rsid w:val="65384E4E"/>
    <w:rsid w:val="653C35A1"/>
    <w:rsid w:val="65407AC1"/>
    <w:rsid w:val="654A79CF"/>
    <w:rsid w:val="65506950"/>
    <w:rsid w:val="655C6080"/>
    <w:rsid w:val="656E2D6F"/>
    <w:rsid w:val="656F4A0C"/>
    <w:rsid w:val="657A428C"/>
    <w:rsid w:val="65876E6F"/>
    <w:rsid w:val="65921AA2"/>
    <w:rsid w:val="65934C5E"/>
    <w:rsid w:val="65B66C75"/>
    <w:rsid w:val="65C041C7"/>
    <w:rsid w:val="65D05C37"/>
    <w:rsid w:val="65E46075"/>
    <w:rsid w:val="65F91B21"/>
    <w:rsid w:val="660C04CD"/>
    <w:rsid w:val="660E22AA"/>
    <w:rsid w:val="66171E70"/>
    <w:rsid w:val="66287D10"/>
    <w:rsid w:val="662E109F"/>
    <w:rsid w:val="664F3345"/>
    <w:rsid w:val="6661443E"/>
    <w:rsid w:val="666351EC"/>
    <w:rsid w:val="666B6D4A"/>
    <w:rsid w:val="667A5A35"/>
    <w:rsid w:val="667E12FF"/>
    <w:rsid w:val="6689294D"/>
    <w:rsid w:val="66925916"/>
    <w:rsid w:val="66A443E2"/>
    <w:rsid w:val="66B45A48"/>
    <w:rsid w:val="66BA2932"/>
    <w:rsid w:val="66BC1DF9"/>
    <w:rsid w:val="66DF0D71"/>
    <w:rsid w:val="66E27998"/>
    <w:rsid w:val="66E947FF"/>
    <w:rsid w:val="66F81EE4"/>
    <w:rsid w:val="670C0772"/>
    <w:rsid w:val="673739A5"/>
    <w:rsid w:val="67450732"/>
    <w:rsid w:val="67617ED3"/>
    <w:rsid w:val="67713939"/>
    <w:rsid w:val="67786A75"/>
    <w:rsid w:val="677B2009"/>
    <w:rsid w:val="677B47B7"/>
    <w:rsid w:val="67931B01"/>
    <w:rsid w:val="67950C48"/>
    <w:rsid w:val="67954732"/>
    <w:rsid w:val="679D71A3"/>
    <w:rsid w:val="67A44F47"/>
    <w:rsid w:val="67A47EB7"/>
    <w:rsid w:val="67AA652A"/>
    <w:rsid w:val="67B57188"/>
    <w:rsid w:val="67B81568"/>
    <w:rsid w:val="67B9301A"/>
    <w:rsid w:val="67D36337"/>
    <w:rsid w:val="67E4410B"/>
    <w:rsid w:val="68164CB6"/>
    <w:rsid w:val="682B7D27"/>
    <w:rsid w:val="68341E95"/>
    <w:rsid w:val="683F0A82"/>
    <w:rsid w:val="68441D23"/>
    <w:rsid w:val="6854054F"/>
    <w:rsid w:val="686B3218"/>
    <w:rsid w:val="686E31B3"/>
    <w:rsid w:val="686F09A9"/>
    <w:rsid w:val="686F6BAD"/>
    <w:rsid w:val="6870766D"/>
    <w:rsid w:val="687912E0"/>
    <w:rsid w:val="687C6DC1"/>
    <w:rsid w:val="688107F7"/>
    <w:rsid w:val="6891032A"/>
    <w:rsid w:val="68B62288"/>
    <w:rsid w:val="68BF0FCA"/>
    <w:rsid w:val="68BF368A"/>
    <w:rsid w:val="68CB0526"/>
    <w:rsid w:val="68D93544"/>
    <w:rsid w:val="68E72104"/>
    <w:rsid w:val="68EA7BCD"/>
    <w:rsid w:val="68F465CF"/>
    <w:rsid w:val="68F80D9F"/>
    <w:rsid w:val="68F91E38"/>
    <w:rsid w:val="68FC2759"/>
    <w:rsid w:val="68FD4EB7"/>
    <w:rsid w:val="691866AB"/>
    <w:rsid w:val="691B1B30"/>
    <w:rsid w:val="69447CB4"/>
    <w:rsid w:val="695A260F"/>
    <w:rsid w:val="695B1B20"/>
    <w:rsid w:val="695B6276"/>
    <w:rsid w:val="69844B67"/>
    <w:rsid w:val="699833FF"/>
    <w:rsid w:val="699D70DF"/>
    <w:rsid w:val="69A05DD2"/>
    <w:rsid w:val="69AF0748"/>
    <w:rsid w:val="69AF134A"/>
    <w:rsid w:val="69B55B38"/>
    <w:rsid w:val="69B67D29"/>
    <w:rsid w:val="69D50421"/>
    <w:rsid w:val="69F12B0F"/>
    <w:rsid w:val="69F66377"/>
    <w:rsid w:val="6A035EF4"/>
    <w:rsid w:val="6A1B23DD"/>
    <w:rsid w:val="6A234CFD"/>
    <w:rsid w:val="6A290A31"/>
    <w:rsid w:val="6A2A3573"/>
    <w:rsid w:val="6A2F3CD0"/>
    <w:rsid w:val="6A311785"/>
    <w:rsid w:val="6A624757"/>
    <w:rsid w:val="6A98052C"/>
    <w:rsid w:val="6A9C218C"/>
    <w:rsid w:val="6A9F07BD"/>
    <w:rsid w:val="6AA608A5"/>
    <w:rsid w:val="6AD95A7D"/>
    <w:rsid w:val="6ADD0FD4"/>
    <w:rsid w:val="6AE17228"/>
    <w:rsid w:val="6AF2584B"/>
    <w:rsid w:val="6AFF6406"/>
    <w:rsid w:val="6B052DB8"/>
    <w:rsid w:val="6B1116BB"/>
    <w:rsid w:val="6B221B9C"/>
    <w:rsid w:val="6B2A277C"/>
    <w:rsid w:val="6B2B6BCC"/>
    <w:rsid w:val="6B3158B9"/>
    <w:rsid w:val="6B454EC0"/>
    <w:rsid w:val="6B472E6F"/>
    <w:rsid w:val="6B4A697B"/>
    <w:rsid w:val="6B4E6A42"/>
    <w:rsid w:val="6B560C49"/>
    <w:rsid w:val="6B5C045C"/>
    <w:rsid w:val="6B6537B4"/>
    <w:rsid w:val="6B773FC3"/>
    <w:rsid w:val="6B79306C"/>
    <w:rsid w:val="6B7B7D93"/>
    <w:rsid w:val="6B8B2A89"/>
    <w:rsid w:val="6B8F25E0"/>
    <w:rsid w:val="6B921C6C"/>
    <w:rsid w:val="6B96571C"/>
    <w:rsid w:val="6B9A3044"/>
    <w:rsid w:val="6BAF16A1"/>
    <w:rsid w:val="6BC40333"/>
    <w:rsid w:val="6BC54253"/>
    <w:rsid w:val="6BE566A3"/>
    <w:rsid w:val="6BF738F7"/>
    <w:rsid w:val="6BFE7D8B"/>
    <w:rsid w:val="6C0634B8"/>
    <w:rsid w:val="6C0E79A8"/>
    <w:rsid w:val="6C101852"/>
    <w:rsid w:val="6C20166A"/>
    <w:rsid w:val="6C270A6A"/>
    <w:rsid w:val="6C292B66"/>
    <w:rsid w:val="6C412313"/>
    <w:rsid w:val="6C4E249B"/>
    <w:rsid w:val="6C501D6F"/>
    <w:rsid w:val="6C53360D"/>
    <w:rsid w:val="6C5A499B"/>
    <w:rsid w:val="6C646816"/>
    <w:rsid w:val="6C744549"/>
    <w:rsid w:val="6C8F3960"/>
    <w:rsid w:val="6CA25582"/>
    <w:rsid w:val="6CA34594"/>
    <w:rsid w:val="6CA703C8"/>
    <w:rsid w:val="6CAB3449"/>
    <w:rsid w:val="6CAF3ECE"/>
    <w:rsid w:val="6CB50DE7"/>
    <w:rsid w:val="6CBD314A"/>
    <w:rsid w:val="6CDC1033"/>
    <w:rsid w:val="6CDE737B"/>
    <w:rsid w:val="6CFD6EA7"/>
    <w:rsid w:val="6D0F39D8"/>
    <w:rsid w:val="6D1A3D78"/>
    <w:rsid w:val="6D1B6B9D"/>
    <w:rsid w:val="6D1C4347"/>
    <w:rsid w:val="6D1F7993"/>
    <w:rsid w:val="6D315AEA"/>
    <w:rsid w:val="6D3A4D72"/>
    <w:rsid w:val="6D4658F8"/>
    <w:rsid w:val="6D604233"/>
    <w:rsid w:val="6D667370"/>
    <w:rsid w:val="6D8C327A"/>
    <w:rsid w:val="6DAE6049"/>
    <w:rsid w:val="6DB96331"/>
    <w:rsid w:val="6DC73D93"/>
    <w:rsid w:val="6DCD641E"/>
    <w:rsid w:val="6DD52ED0"/>
    <w:rsid w:val="6DE0333E"/>
    <w:rsid w:val="6DE12800"/>
    <w:rsid w:val="6DEE5CE3"/>
    <w:rsid w:val="6DF3121E"/>
    <w:rsid w:val="6E1F7C4B"/>
    <w:rsid w:val="6E3127D7"/>
    <w:rsid w:val="6E331948"/>
    <w:rsid w:val="6E461E74"/>
    <w:rsid w:val="6E5B2E9C"/>
    <w:rsid w:val="6E604B3F"/>
    <w:rsid w:val="6E6C279E"/>
    <w:rsid w:val="6E756B1F"/>
    <w:rsid w:val="6E91265C"/>
    <w:rsid w:val="6E9D67AE"/>
    <w:rsid w:val="6EA03C18"/>
    <w:rsid w:val="6EAE7221"/>
    <w:rsid w:val="6EB5235D"/>
    <w:rsid w:val="6EBA6E02"/>
    <w:rsid w:val="6EC473F7"/>
    <w:rsid w:val="6ECC3851"/>
    <w:rsid w:val="6ED8429D"/>
    <w:rsid w:val="6EE30492"/>
    <w:rsid w:val="6EED0F38"/>
    <w:rsid w:val="6EFE7BD1"/>
    <w:rsid w:val="6F0151B1"/>
    <w:rsid w:val="6F05021A"/>
    <w:rsid w:val="6F064B41"/>
    <w:rsid w:val="6F0D6F71"/>
    <w:rsid w:val="6F0E4941"/>
    <w:rsid w:val="6F0F46E2"/>
    <w:rsid w:val="6F1572A0"/>
    <w:rsid w:val="6F174DC6"/>
    <w:rsid w:val="6F2D283B"/>
    <w:rsid w:val="6F3239AE"/>
    <w:rsid w:val="6F4E73B8"/>
    <w:rsid w:val="6F5B6D86"/>
    <w:rsid w:val="6F616041"/>
    <w:rsid w:val="6F6D70DC"/>
    <w:rsid w:val="6F724110"/>
    <w:rsid w:val="6F751248"/>
    <w:rsid w:val="6F9743DC"/>
    <w:rsid w:val="6FD902CD"/>
    <w:rsid w:val="6FDA2D84"/>
    <w:rsid w:val="6FE078AE"/>
    <w:rsid w:val="6FE07C0D"/>
    <w:rsid w:val="6FEA4288"/>
    <w:rsid w:val="6FF17B65"/>
    <w:rsid w:val="70143B2C"/>
    <w:rsid w:val="701C751A"/>
    <w:rsid w:val="7036406F"/>
    <w:rsid w:val="70500747"/>
    <w:rsid w:val="706E6C67"/>
    <w:rsid w:val="70951A54"/>
    <w:rsid w:val="70A03D86"/>
    <w:rsid w:val="70B724C2"/>
    <w:rsid w:val="70BA6401"/>
    <w:rsid w:val="70C40F7D"/>
    <w:rsid w:val="70D76C44"/>
    <w:rsid w:val="70DA254F"/>
    <w:rsid w:val="70E261A6"/>
    <w:rsid w:val="70E37655"/>
    <w:rsid w:val="70F03B20"/>
    <w:rsid w:val="70FB773A"/>
    <w:rsid w:val="71066EA0"/>
    <w:rsid w:val="71170EBD"/>
    <w:rsid w:val="711C66C3"/>
    <w:rsid w:val="71233EF6"/>
    <w:rsid w:val="712B46B3"/>
    <w:rsid w:val="71317F0B"/>
    <w:rsid w:val="714C6190"/>
    <w:rsid w:val="71574496"/>
    <w:rsid w:val="7157594D"/>
    <w:rsid w:val="715D270E"/>
    <w:rsid w:val="7164543D"/>
    <w:rsid w:val="716B1520"/>
    <w:rsid w:val="716C4678"/>
    <w:rsid w:val="716D3EB2"/>
    <w:rsid w:val="716F61BE"/>
    <w:rsid w:val="717E6E37"/>
    <w:rsid w:val="71837B47"/>
    <w:rsid w:val="7189678B"/>
    <w:rsid w:val="71902C0D"/>
    <w:rsid w:val="719C15B2"/>
    <w:rsid w:val="71BE777B"/>
    <w:rsid w:val="71D074AE"/>
    <w:rsid w:val="71F47640"/>
    <w:rsid w:val="721575C6"/>
    <w:rsid w:val="722F2148"/>
    <w:rsid w:val="723E17BA"/>
    <w:rsid w:val="723F4C6C"/>
    <w:rsid w:val="724C7E10"/>
    <w:rsid w:val="724E1C5B"/>
    <w:rsid w:val="72561612"/>
    <w:rsid w:val="725974A3"/>
    <w:rsid w:val="725D34A7"/>
    <w:rsid w:val="72694444"/>
    <w:rsid w:val="726E2F4F"/>
    <w:rsid w:val="72710C91"/>
    <w:rsid w:val="72832719"/>
    <w:rsid w:val="728A58AF"/>
    <w:rsid w:val="728B65AA"/>
    <w:rsid w:val="72916633"/>
    <w:rsid w:val="72A056D9"/>
    <w:rsid w:val="72A858A4"/>
    <w:rsid w:val="72F83160"/>
    <w:rsid w:val="73045661"/>
    <w:rsid w:val="73053151"/>
    <w:rsid w:val="73067681"/>
    <w:rsid w:val="73141947"/>
    <w:rsid w:val="731826CC"/>
    <w:rsid w:val="73223D39"/>
    <w:rsid w:val="73246220"/>
    <w:rsid w:val="732D29E3"/>
    <w:rsid w:val="732D6613"/>
    <w:rsid w:val="73317ADF"/>
    <w:rsid w:val="73362E66"/>
    <w:rsid w:val="7348321B"/>
    <w:rsid w:val="73770529"/>
    <w:rsid w:val="73792D3A"/>
    <w:rsid w:val="73A50B60"/>
    <w:rsid w:val="73AA445A"/>
    <w:rsid w:val="73DB23B3"/>
    <w:rsid w:val="73DB2DE3"/>
    <w:rsid w:val="73FA003D"/>
    <w:rsid w:val="73FC27DC"/>
    <w:rsid w:val="740578E3"/>
    <w:rsid w:val="74166486"/>
    <w:rsid w:val="742446FB"/>
    <w:rsid w:val="742C7707"/>
    <w:rsid w:val="74345F76"/>
    <w:rsid w:val="74365CEE"/>
    <w:rsid w:val="744031AD"/>
    <w:rsid w:val="74423E2D"/>
    <w:rsid w:val="74477DAE"/>
    <w:rsid w:val="745633C4"/>
    <w:rsid w:val="7459408D"/>
    <w:rsid w:val="746B0284"/>
    <w:rsid w:val="746C6672"/>
    <w:rsid w:val="746F2C45"/>
    <w:rsid w:val="74706CF1"/>
    <w:rsid w:val="74896172"/>
    <w:rsid w:val="749937B1"/>
    <w:rsid w:val="7499605A"/>
    <w:rsid w:val="749B1FF5"/>
    <w:rsid w:val="749C2AA6"/>
    <w:rsid w:val="74A14EF6"/>
    <w:rsid w:val="74A536E0"/>
    <w:rsid w:val="74B33856"/>
    <w:rsid w:val="74BB7C74"/>
    <w:rsid w:val="74C54B6A"/>
    <w:rsid w:val="74C72DEA"/>
    <w:rsid w:val="74C9340C"/>
    <w:rsid w:val="74D90630"/>
    <w:rsid w:val="74E90FB2"/>
    <w:rsid w:val="74EA6AF3"/>
    <w:rsid w:val="74F0512C"/>
    <w:rsid w:val="74F31E31"/>
    <w:rsid w:val="74F6722B"/>
    <w:rsid w:val="75062505"/>
    <w:rsid w:val="75153B55"/>
    <w:rsid w:val="752B3379"/>
    <w:rsid w:val="753F5076"/>
    <w:rsid w:val="75755A67"/>
    <w:rsid w:val="75784DD5"/>
    <w:rsid w:val="75A64A67"/>
    <w:rsid w:val="75B8703E"/>
    <w:rsid w:val="75B929AE"/>
    <w:rsid w:val="75DC352E"/>
    <w:rsid w:val="75DD3D82"/>
    <w:rsid w:val="75E832BF"/>
    <w:rsid w:val="76091339"/>
    <w:rsid w:val="760F66F3"/>
    <w:rsid w:val="761A53C5"/>
    <w:rsid w:val="76280E6B"/>
    <w:rsid w:val="767766FC"/>
    <w:rsid w:val="767B3E8C"/>
    <w:rsid w:val="767C54DB"/>
    <w:rsid w:val="76870A83"/>
    <w:rsid w:val="76961786"/>
    <w:rsid w:val="769813AA"/>
    <w:rsid w:val="769D37E2"/>
    <w:rsid w:val="76B4739E"/>
    <w:rsid w:val="76B85DB3"/>
    <w:rsid w:val="76DD261A"/>
    <w:rsid w:val="76DD68F5"/>
    <w:rsid w:val="76DF4F5B"/>
    <w:rsid w:val="76E00FAE"/>
    <w:rsid w:val="76E014B8"/>
    <w:rsid w:val="76E45ED5"/>
    <w:rsid w:val="76E97B76"/>
    <w:rsid w:val="76EE465E"/>
    <w:rsid w:val="76F36118"/>
    <w:rsid w:val="77147E3D"/>
    <w:rsid w:val="77162DC0"/>
    <w:rsid w:val="771A18F7"/>
    <w:rsid w:val="772C460D"/>
    <w:rsid w:val="773151A4"/>
    <w:rsid w:val="773A0773"/>
    <w:rsid w:val="774B2DBD"/>
    <w:rsid w:val="775957D2"/>
    <w:rsid w:val="775A6197"/>
    <w:rsid w:val="776B2153"/>
    <w:rsid w:val="776D2980"/>
    <w:rsid w:val="77771181"/>
    <w:rsid w:val="777E3926"/>
    <w:rsid w:val="77830781"/>
    <w:rsid w:val="779A7B04"/>
    <w:rsid w:val="77B06F30"/>
    <w:rsid w:val="77B533CE"/>
    <w:rsid w:val="77BB0335"/>
    <w:rsid w:val="77BE6FD3"/>
    <w:rsid w:val="77C20AD6"/>
    <w:rsid w:val="77CD0717"/>
    <w:rsid w:val="77CF0438"/>
    <w:rsid w:val="77D5581E"/>
    <w:rsid w:val="77D953F3"/>
    <w:rsid w:val="77E14988"/>
    <w:rsid w:val="77E33857"/>
    <w:rsid w:val="77F4039A"/>
    <w:rsid w:val="77F56620"/>
    <w:rsid w:val="77F93A05"/>
    <w:rsid w:val="780E2ADE"/>
    <w:rsid w:val="781C169F"/>
    <w:rsid w:val="781C344D"/>
    <w:rsid w:val="782C432F"/>
    <w:rsid w:val="78301C0A"/>
    <w:rsid w:val="78397B5B"/>
    <w:rsid w:val="783A5C23"/>
    <w:rsid w:val="78496134"/>
    <w:rsid w:val="78574485"/>
    <w:rsid w:val="78727511"/>
    <w:rsid w:val="7880578A"/>
    <w:rsid w:val="788E5388"/>
    <w:rsid w:val="78AA5CF0"/>
    <w:rsid w:val="78CF6711"/>
    <w:rsid w:val="78D21E36"/>
    <w:rsid w:val="790939D1"/>
    <w:rsid w:val="79102FB2"/>
    <w:rsid w:val="791E169C"/>
    <w:rsid w:val="79620D21"/>
    <w:rsid w:val="796B3C5D"/>
    <w:rsid w:val="796C18EC"/>
    <w:rsid w:val="79876FEC"/>
    <w:rsid w:val="79903F48"/>
    <w:rsid w:val="79946B31"/>
    <w:rsid w:val="79AA36CA"/>
    <w:rsid w:val="79AB6B1C"/>
    <w:rsid w:val="79AC0945"/>
    <w:rsid w:val="79AE02B1"/>
    <w:rsid w:val="79CE69C9"/>
    <w:rsid w:val="79D033C3"/>
    <w:rsid w:val="79D43854"/>
    <w:rsid w:val="79E104AA"/>
    <w:rsid w:val="79E6490C"/>
    <w:rsid w:val="7A0B19CB"/>
    <w:rsid w:val="7A1268B5"/>
    <w:rsid w:val="7A2605B3"/>
    <w:rsid w:val="7A3866CC"/>
    <w:rsid w:val="7A3948AB"/>
    <w:rsid w:val="7A4A42A1"/>
    <w:rsid w:val="7A4C7C7F"/>
    <w:rsid w:val="7A4E5EEA"/>
    <w:rsid w:val="7A505630"/>
    <w:rsid w:val="7A526087"/>
    <w:rsid w:val="7A574C10"/>
    <w:rsid w:val="7A592EEB"/>
    <w:rsid w:val="7A68361F"/>
    <w:rsid w:val="7A7418D6"/>
    <w:rsid w:val="7A7A445B"/>
    <w:rsid w:val="7A7A5E63"/>
    <w:rsid w:val="7A8D0632"/>
    <w:rsid w:val="7A8E0D2F"/>
    <w:rsid w:val="7AB23BF5"/>
    <w:rsid w:val="7ABD2CC5"/>
    <w:rsid w:val="7ABE4FBD"/>
    <w:rsid w:val="7AC64DC5"/>
    <w:rsid w:val="7ACA4BDC"/>
    <w:rsid w:val="7AD26045"/>
    <w:rsid w:val="7AEC1EE7"/>
    <w:rsid w:val="7AF2038D"/>
    <w:rsid w:val="7AF44659"/>
    <w:rsid w:val="7AF75DE5"/>
    <w:rsid w:val="7B007EC0"/>
    <w:rsid w:val="7B0A1C83"/>
    <w:rsid w:val="7B193C74"/>
    <w:rsid w:val="7B38059E"/>
    <w:rsid w:val="7B3B008E"/>
    <w:rsid w:val="7B6E3FBF"/>
    <w:rsid w:val="7B7D32A4"/>
    <w:rsid w:val="7B927241"/>
    <w:rsid w:val="7B95779E"/>
    <w:rsid w:val="7BBD0AA3"/>
    <w:rsid w:val="7BBF0CBF"/>
    <w:rsid w:val="7BC6204D"/>
    <w:rsid w:val="7BC72653"/>
    <w:rsid w:val="7BFA5853"/>
    <w:rsid w:val="7BFC781D"/>
    <w:rsid w:val="7C042B76"/>
    <w:rsid w:val="7C057A5F"/>
    <w:rsid w:val="7C0E3AFC"/>
    <w:rsid w:val="7C115AA5"/>
    <w:rsid w:val="7C174657"/>
    <w:rsid w:val="7C2E374F"/>
    <w:rsid w:val="7C354ADD"/>
    <w:rsid w:val="7C3972C6"/>
    <w:rsid w:val="7C3F158A"/>
    <w:rsid w:val="7C472DA6"/>
    <w:rsid w:val="7C474F34"/>
    <w:rsid w:val="7C47503C"/>
    <w:rsid w:val="7C696F46"/>
    <w:rsid w:val="7C6F7FEF"/>
    <w:rsid w:val="7C85671B"/>
    <w:rsid w:val="7CAE2BAE"/>
    <w:rsid w:val="7CB400F8"/>
    <w:rsid w:val="7CBB6777"/>
    <w:rsid w:val="7CC2755B"/>
    <w:rsid w:val="7CD2434A"/>
    <w:rsid w:val="7CDD6217"/>
    <w:rsid w:val="7CF033C3"/>
    <w:rsid w:val="7D001ED5"/>
    <w:rsid w:val="7D1164CD"/>
    <w:rsid w:val="7D225AFC"/>
    <w:rsid w:val="7D474AC8"/>
    <w:rsid w:val="7D53526A"/>
    <w:rsid w:val="7D696557"/>
    <w:rsid w:val="7D6D53BF"/>
    <w:rsid w:val="7D815799"/>
    <w:rsid w:val="7D865347"/>
    <w:rsid w:val="7DAD593B"/>
    <w:rsid w:val="7DB274B4"/>
    <w:rsid w:val="7DB63C2E"/>
    <w:rsid w:val="7DBF7323"/>
    <w:rsid w:val="7DC1163E"/>
    <w:rsid w:val="7DC66CC9"/>
    <w:rsid w:val="7DE64B80"/>
    <w:rsid w:val="7DEA5A78"/>
    <w:rsid w:val="7DF509C8"/>
    <w:rsid w:val="7E1352C8"/>
    <w:rsid w:val="7E144D2B"/>
    <w:rsid w:val="7E176507"/>
    <w:rsid w:val="7E395ABE"/>
    <w:rsid w:val="7E494B76"/>
    <w:rsid w:val="7E5F22E5"/>
    <w:rsid w:val="7E6060BB"/>
    <w:rsid w:val="7E7270F8"/>
    <w:rsid w:val="7E7644D6"/>
    <w:rsid w:val="7E7A0ECD"/>
    <w:rsid w:val="7E7A2C7B"/>
    <w:rsid w:val="7E7E6C0F"/>
    <w:rsid w:val="7EB268B9"/>
    <w:rsid w:val="7EB31BE7"/>
    <w:rsid w:val="7ECD2939"/>
    <w:rsid w:val="7ED21A34"/>
    <w:rsid w:val="7ED72300"/>
    <w:rsid w:val="7EDA0ADA"/>
    <w:rsid w:val="7EE0781B"/>
    <w:rsid w:val="7F064FD8"/>
    <w:rsid w:val="7F0C595B"/>
    <w:rsid w:val="7F116497"/>
    <w:rsid w:val="7F163736"/>
    <w:rsid w:val="7F1D32B7"/>
    <w:rsid w:val="7F2220A1"/>
    <w:rsid w:val="7F296A0B"/>
    <w:rsid w:val="7F322925"/>
    <w:rsid w:val="7F354B67"/>
    <w:rsid w:val="7F533220"/>
    <w:rsid w:val="7F572FBC"/>
    <w:rsid w:val="7F5F40FF"/>
    <w:rsid w:val="7F736048"/>
    <w:rsid w:val="7F745AA9"/>
    <w:rsid w:val="7F8A69E7"/>
    <w:rsid w:val="7F8B6823"/>
    <w:rsid w:val="7FB62F33"/>
    <w:rsid w:val="7FE707E4"/>
    <w:rsid w:val="7FFF512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rPr>
  </w:style>
  <w:style w:type="paragraph" w:styleId="2">
    <w:name w:val="heading 1"/>
    <w:basedOn w:val="1"/>
    <w:next w:val="1"/>
    <w:link w:val="22"/>
    <w:autoRedefine/>
    <w:qFormat/>
    <w:uiPriority w:val="0"/>
    <w:pPr>
      <w:keepNext/>
      <w:keepLines/>
      <w:numPr>
        <w:ilvl w:val="0"/>
        <w:numId w:val="1"/>
      </w:numPr>
      <w:spacing w:before="340" w:beforeLines="0" w:after="330" w:afterLines="0" w:line="360" w:lineRule="auto"/>
      <w:ind w:left="432" w:hanging="432"/>
      <w:outlineLvl w:val="0"/>
    </w:pPr>
    <w:rPr>
      <w:rFonts w:ascii="Times New Roman" w:hAnsi="Times New Roman" w:eastAsia="仿宋" w:cs="Times New Roman"/>
      <w:b/>
      <w:bCs/>
      <w:kern w:val="44"/>
      <w:sz w:val="32"/>
      <w:szCs w:val="32"/>
    </w:rPr>
  </w:style>
  <w:style w:type="paragraph" w:styleId="3">
    <w:name w:val="heading 2"/>
    <w:basedOn w:val="1"/>
    <w:next w:val="1"/>
    <w:link w:val="24"/>
    <w:autoRedefine/>
    <w:qFormat/>
    <w:uiPriority w:val="99"/>
    <w:pPr>
      <w:keepNext/>
      <w:keepLines/>
      <w:numPr>
        <w:ilvl w:val="1"/>
        <w:numId w:val="1"/>
      </w:numPr>
      <w:tabs>
        <w:tab w:val="left" w:pos="360"/>
      </w:tabs>
      <w:spacing w:line="240" w:lineRule="auto"/>
      <w:ind w:left="575" w:hanging="575" w:firstLineChars="0"/>
      <w:outlineLvl w:val="1"/>
    </w:pPr>
    <w:rPr>
      <w:rFonts w:ascii="Times New Roman" w:hAnsi="Times New Roman" w:eastAsia="仿宋" w:cs="Times New Roman"/>
      <w:b/>
      <w:bCs/>
      <w:sz w:val="36"/>
      <w:szCs w:val="30"/>
    </w:rPr>
  </w:style>
  <w:style w:type="paragraph" w:styleId="4">
    <w:name w:val="heading 3"/>
    <w:basedOn w:val="1"/>
    <w:next w:val="1"/>
    <w:link w:val="28"/>
    <w:autoRedefine/>
    <w:qFormat/>
    <w:uiPriority w:val="0"/>
    <w:pPr>
      <w:keepNext/>
      <w:keepLines/>
      <w:widowControl w:val="0"/>
      <w:numPr>
        <w:ilvl w:val="2"/>
        <w:numId w:val="1"/>
      </w:numPr>
      <w:tabs>
        <w:tab w:val="left" w:pos="420"/>
      </w:tabs>
      <w:spacing w:line="240" w:lineRule="auto"/>
      <w:ind w:left="720" w:hanging="720"/>
      <w:jc w:val="both"/>
      <w:outlineLvl w:val="2"/>
    </w:pPr>
    <w:rPr>
      <w:rFonts w:ascii="Times New Roman" w:hAnsi="Times New Roman" w:eastAsia="仿宋" w:cs="Times New Roman"/>
      <w:b/>
      <w:bCs/>
      <w:sz w:val="28"/>
      <w:szCs w:val="32"/>
      <w:lang w:bidi="ar-SA"/>
    </w:rPr>
  </w:style>
  <w:style w:type="paragraph" w:styleId="5">
    <w:name w:val="heading 4"/>
    <w:basedOn w:val="1"/>
    <w:next w:val="1"/>
    <w:autoRedefine/>
    <w:unhideWhenUsed/>
    <w:qFormat/>
    <w:uiPriority w:val="0"/>
    <w:pPr>
      <w:keepNext/>
      <w:keepLines/>
      <w:numPr>
        <w:ilvl w:val="3"/>
        <w:numId w:val="1"/>
      </w:numPr>
      <w:spacing w:before="90" w:beforeLines="0" w:beforeAutospacing="0" w:after="280" w:afterLines="0" w:afterAutospacing="0" w:line="240" w:lineRule="auto"/>
      <w:ind w:left="864" w:leftChars="0" w:right="0" w:rightChars="0" w:hanging="864" w:firstLineChars="0"/>
      <w:outlineLvl w:val="3"/>
    </w:pPr>
    <w:rPr>
      <w:rFonts w:ascii="Arial" w:hAnsi="Arial" w:eastAsia="仿宋"/>
      <w:b/>
      <w:sz w:val="28"/>
    </w:rPr>
  </w:style>
  <w:style w:type="paragraph" w:styleId="6">
    <w:name w:val="heading 5"/>
    <w:basedOn w:val="1"/>
    <w:next w:val="1"/>
    <w:autoRedefine/>
    <w:semiHidden/>
    <w:unhideWhenUsed/>
    <w:qFormat/>
    <w:uiPriority w:val="0"/>
    <w:pPr>
      <w:keepNext/>
      <w:keepLines/>
      <w:numPr>
        <w:ilvl w:val="4"/>
        <w:numId w:val="1"/>
      </w:numPr>
      <w:tabs>
        <w:tab w:val="left" w:pos="397"/>
      </w:tabs>
      <w:spacing w:before="60" w:after="60" w:line="240" w:lineRule="auto"/>
      <w:ind w:left="1008" w:leftChars="0" w:hanging="1008"/>
      <w:outlineLvl w:val="4"/>
    </w:pPr>
    <w:rPr>
      <w:rFonts w:ascii="Times New Roman" w:hAnsi="Times New Roman" w:eastAsia="仿宋" w:cs="Times New Roman"/>
      <w:b/>
      <w:bCs/>
      <w:kern w:val="2"/>
      <w:sz w:val="28"/>
      <w:szCs w:val="28"/>
      <w:lang w:val="en-US" w:eastAsia="zh-CN" w:bidi="ar-SA"/>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autoRedefine/>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footer"/>
    <w:autoRedefine/>
    <w:qFormat/>
    <w:uiPriority w:val="0"/>
    <w:pPr>
      <w:widowControl w:val="0"/>
      <w:tabs>
        <w:tab w:val="center" w:pos="4153"/>
        <w:tab w:val="right" w:pos="8306"/>
      </w:tabs>
      <w:snapToGrid w:val="0"/>
      <w:jc w:val="left"/>
    </w:pPr>
    <w:rPr>
      <w:rFonts w:ascii="等线" w:hAnsi="等线" w:eastAsia="等线" w:cs="等线"/>
      <w:kern w:val="2"/>
      <w:sz w:val="18"/>
      <w:szCs w:val="18"/>
      <w:lang w:val="en-US" w:eastAsia="zh-CN"/>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2"/>
    <w:basedOn w:val="1"/>
    <w:next w:val="1"/>
    <w:link w:val="34"/>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autoRedefine/>
    <w:qFormat/>
    <w:uiPriority w:val="99"/>
    <w:pPr>
      <w:spacing w:before="240" w:after="60"/>
      <w:jc w:val="left"/>
      <w:outlineLvl w:val="0"/>
    </w:pPr>
    <w:rPr>
      <w:rFonts w:ascii="Arial" w:hAnsi="Arial" w:cs="Arial"/>
      <w:b/>
      <w:bCs/>
      <w:sz w:val="32"/>
      <w:szCs w:val="3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customStyle="1" w:styleId="22">
    <w:name w:val="标题 1 字符"/>
    <w:link w:val="2"/>
    <w:autoRedefine/>
    <w:qFormat/>
    <w:uiPriority w:val="0"/>
    <w:rPr>
      <w:rFonts w:ascii="Times New Roman" w:hAnsi="Times New Roman" w:eastAsia="仿宋" w:cs="Times New Roman"/>
      <w:b/>
      <w:bCs/>
      <w:kern w:val="44"/>
      <w:sz w:val="32"/>
      <w:szCs w:val="32"/>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标题 2 Char"/>
    <w:link w:val="3"/>
    <w:autoRedefine/>
    <w:qFormat/>
    <w:uiPriority w:val="99"/>
    <w:rPr>
      <w:rFonts w:ascii="Times New Roman" w:hAnsi="Times New Roman" w:eastAsia="仿宋" w:cs="Times New Roman"/>
      <w:b/>
      <w:bCs/>
      <w:sz w:val="36"/>
      <w:szCs w:val="30"/>
    </w:rPr>
  </w:style>
  <w:style w:type="character" w:customStyle="1" w:styleId="25">
    <w:name w:val="font11"/>
    <w:basedOn w:val="20"/>
    <w:autoRedefine/>
    <w:qFormat/>
    <w:uiPriority w:val="0"/>
    <w:rPr>
      <w:rFonts w:hint="eastAsia" w:ascii="仿宋" w:hAnsi="仿宋" w:eastAsia="仿宋" w:cs="仿宋"/>
      <w:color w:val="000000"/>
      <w:sz w:val="24"/>
      <w:szCs w:val="24"/>
      <w:u w:val="none"/>
    </w:rPr>
  </w:style>
  <w:style w:type="character" w:customStyle="1" w:styleId="26">
    <w:name w:val="font21"/>
    <w:basedOn w:val="20"/>
    <w:autoRedefine/>
    <w:qFormat/>
    <w:uiPriority w:val="0"/>
    <w:rPr>
      <w:rFonts w:hint="eastAsia" w:ascii="仿宋" w:hAnsi="仿宋" w:eastAsia="仿宋" w:cs="仿宋"/>
      <w:color w:val="000000"/>
      <w:sz w:val="21"/>
      <w:szCs w:val="21"/>
      <w:u w:val="none"/>
    </w:rPr>
  </w:style>
  <w:style w:type="character" w:customStyle="1" w:styleId="27">
    <w:name w:val="font01"/>
    <w:basedOn w:val="20"/>
    <w:autoRedefine/>
    <w:qFormat/>
    <w:uiPriority w:val="0"/>
    <w:rPr>
      <w:rFonts w:hint="eastAsia" w:ascii="宋体" w:hAnsi="宋体" w:eastAsia="宋体" w:cs="宋体"/>
      <w:color w:val="000000"/>
      <w:sz w:val="28"/>
      <w:szCs w:val="28"/>
      <w:u w:val="none"/>
    </w:rPr>
  </w:style>
  <w:style w:type="character" w:customStyle="1" w:styleId="28">
    <w:name w:val="标题 3 字符"/>
    <w:link w:val="4"/>
    <w:autoRedefine/>
    <w:qFormat/>
    <w:locked/>
    <w:uiPriority w:val="99"/>
    <w:rPr>
      <w:rFonts w:ascii="Times New Roman" w:hAnsi="Times New Roman" w:eastAsia="仿宋" w:cs="Times New Roman"/>
      <w:b/>
      <w:bCs/>
      <w:sz w:val="28"/>
      <w:szCs w:val="32"/>
      <w:lang w:bidi="ar-SA"/>
    </w:rPr>
  </w:style>
  <w:style w:type="character" w:customStyle="1" w:styleId="29">
    <w:name w:val="font31"/>
    <w:basedOn w:val="20"/>
    <w:autoRedefine/>
    <w:qFormat/>
    <w:uiPriority w:val="0"/>
    <w:rPr>
      <w:rFonts w:hint="default" w:ascii="Times New Roman" w:hAnsi="Times New Roman" w:cs="Times New Roman"/>
      <w:color w:val="000000"/>
      <w:sz w:val="21"/>
      <w:szCs w:val="21"/>
      <w:u w:val="none"/>
    </w:rPr>
  </w:style>
  <w:style w:type="paragraph" w:customStyle="1" w:styleId="30">
    <w:name w:val="SH_表内正文"/>
    <w:autoRedefine/>
    <w:qFormat/>
    <w:locked/>
    <w:uiPriority w:val="0"/>
    <w:pPr>
      <w:widowControl w:val="0"/>
      <w:spacing w:line="240" w:lineRule="auto"/>
      <w:jc w:val="center"/>
    </w:pPr>
    <w:rPr>
      <w:rFonts w:ascii="Times New Roman" w:hAnsi="Times New Roman" w:eastAsia="宋体" w:cs="Times New Roman"/>
      <w:kern w:val="2"/>
      <w:sz w:val="21"/>
      <w:szCs w:val="24"/>
      <w:lang w:val="en-US" w:eastAsia="zh-CN" w:bidi="ar-SA"/>
    </w:rPr>
  </w:style>
  <w:style w:type="character" w:customStyle="1" w:styleId="31">
    <w:name w:val="font41"/>
    <w:basedOn w:val="20"/>
    <w:qFormat/>
    <w:uiPriority w:val="0"/>
    <w:rPr>
      <w:rFonts w:hint="default" w:ascii="Arial" w:hAnsi="Arial" w:cs="Arial"/>
      <w:color w:val="000000"/>
      <w:sz w:val="20"/>
      <w:szCs w:val="20"/>
      <w:u w:val="none"/>
    </w:rPr>
  </w:style>
  <w:style w:type="character" w:customStyle="1" w:styleId="32">
    <w:name w:val="font61"/>
    <w:basedOn w:val="20"/>
    <w:qFormat/>
    <w:uiPriority w:val="0"/>
    <w:rPr>
      <w:rFonts w:hint="default" w:ascii="Times New Roman" w:hAnsi="Times New Roman" w:cs="Times New Roman"/>
      <w:color w:val="000000"/>
      <w:sz w:val="22"/>
      <w:szCs w:val="22"/>
      <w:u w:val="none"/>
    </w:rPr>
  </w:style>
  <w:style w:type="character" w:customStyle="1" w:styleId="33">
    <w:name w:val="font51"/>
    <w:basedOn w:val="20"/>
    <w:qFormat/>
    <w:uiPriority w:val="0"/>
    <w:rPr>
      <w:rFonts w:hint="default" w:ascii="Arial" w:hAnsi="Arial" w:cs="Arial"/>
      <w:color w:val="000000"/>
      <w:sz w:val="20"/>
      <w:szCs w:val="20"/>
      <w:u w:val="none"/>
    </w:rPr>
  </w:style>
  <w:style w:type="character" w:customStyle="1" w:styleId="34">
    <w:name w:val="目录 2 Char"/>
    <w:link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5952</Words>
  <Characters>6579</Characters>
  <Lines>68</Lines>
  <Paragraphs>19</Paragraphs>
  <TotalTime>28</TotalTime>
  <ScaleCrop>false</ScaleCrop>
  <LinksUpToDate>false</LinksUpToDate>
  <CharactersWithSpaces>6631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2020-12-14T09:41:00Z</dcterms:created>
  <dc:creator>yu</dc:creator>
  <cp:lastModifiedBy>WPS_1669085731</cp:lastModifiedBy>
  <cp:lastPrinted>2024-05-14T07:21:00Z</cp:lastPrinted>
  <dcterms:modified xsi:type="dcterms:W3CDTF">2026-01-30T06:49:06Z</dcterms:modified>
  <dc:title>**县（市、区）20**年第**批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49DCBE0EFF6843F7BF39D72DF9940DAE_13</vt:lpwstr>
  </property>
  <property fmtid="{D5CDD505-2E9C-101B-9397-08002B2CF9AE}" pid="4" name="KSOTemplateDocerSaveRecord">
    <vt:lpwstr>eyJoZGlkIjoiNzRhN2Y2MWU0ODc5NTAwOTBjOWExZWFmNzEzYzFjYjMiLCJ1c2VySWQiOiIxNDQ1Njk0MjYwIn0=</vt:lpwstr>
  </property>
</Properties>
</file>